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start"/>
        <w:rPr/>
      </w:pPr>
      <w:r>
        <w:rPr/>
      </w:r>
    </w:p>
    <w:p>
      <w:pPr>
        <w:pStyle w:val="Normal"/>
        <w:spacing w:before="0" w:after="0"/>
        <w:jc w:val="start"/>
        <w:rPr/>
      </w:pPr>
      <w:r>
        <w:rPr/>
      </w:r>
    </w:p>
    <w:p>
      <w:pPr>
        <w:pStyle w:val="Normal"/>
        <w:spacing w:before="0" w:after="0"/>
        <w:jc w:val="start"/>
        <w:rPr/>
      </w:pPr>
      <w:r>
        <w:rPr/>
      </w:r>
    </w:p>
    <w:p>
      <w:pPr>
        <w:pStyle w:val="Normal"/>
        <w:spacing w:before="0" w:after="0"/>
        <w:jc w:val="start"/>
        <w:rPr/>
      </w:pPr>
      <w:r>
        <w:rPr/>
      </w:r>
    </w:p>
    <w:p>
      <w:pPr>
        <w:pStyle w:val="Normal"/>
        <w:spacing w:before="0" w:after="0"/>
        <w:jc w:val="start"/>
        <w:rPr/>
      </w:pPr>
      <w:r>
        <w:rPr/>
      </w:r>
    </w:p>
    <w:p>
      <w:pPr>
        <w:pStyle w:val="Normal"/>
        <w:spacing w:before="0" w:after="100"/>
        <w:jc w:val="start"/>
        <w:rPr/>
      </w:pPr>
      <w:r>
        <w:rPr>
          <w:rFonts w:eastAsia="Arial" w:cs="Arial"/>
          <w:b/>
          <w:bCs/>
          <w:color w:val="2A9D8F"/>
          <w:sz w:val="20"/>
          <w:szCs w:val="20"/>
        </w:rPr>
        <w:t>NORTH AND VINE</w:t>
      </w:r>
    </w:p>
    <w:p>
      <w:pPr>
        <w:pStyle w:val="Normal"/>
        <w:pBdr>
          <w:bottom w:val="single" w:sz="6" w:space="12" w:color="2A9D8F"/>
        </w:pBdr>
        <w:spacing w:before="0" w:after="500"/>
        <w:jc w:val="start"/>
        <w:rPr/>
      </w:pPr>
      <w:r>
        <w:rPr>
          <w:rFonts w:eastAsia="Arial" w:cs="Arial"/>
          <w:color w:val="666666"/>
          <w:sz w:val="18"/>
          <w:szCs w:val="18"/>
        </w:rPr>
        <w:t>WHITE PAPER</w:t>
      </w:r>
    </w:p>
    <w:p>
      <w:pPr>
        <w:pStyle w:val="Normal"/>
        <w:spacing w:before="400" w:after="300"/>
        <w:jc w:val="start"/>
        <w:rPr/>
      </w:pPr>
      <w:r>
        <w:rPr>
          <w:rFonts w:eastAsia="Arial" w:cs="Arial"/>
          <w:b/>
          <w:bCs/>
          <w:color w:val="1B2A4A"/>
          <w:sz w:val="56"/>
          <w:szCs w:val="56"/>
        </w:rPr>
        <w:t>Using Storytelling to Build Trust and Drive Measurable Conversions</w:t>
      </w:r>
    </w:p>
    <w:p>
      <w:pPr>
        <w:pStyle w:val="Normal"/>
        <w:spacing w:before="0" w:after="600"/>
        <w:jc w:val="start"/>
        <w:rPr/>
      </w:pPr>
      <w:r>
        <w:rPr>
          <w:rFonts w:eastAsia="Arial" w:cs="Arial"/>
          <w:b w:val="false"/>
          <w:bCs w:val="false"/>
          <w:i/>
          <w:iCs/>
          <w:color w:val="666666"/>
          <w:sz w:val="26"/>
          <w:szCs w:val="26"/>
        </w:rPr>
        <w:t>How narrative-driven marketing creates emotional connection, shortens sales cycles, and delivers ROI your CFO will believe.</w:t>
      </w:r>
    </w:p>
    <w:p>
      <w:pPr>
        <w:pStyle w:val="Normal"/>
        <w:spacing w:before="0" w:after="100"/>
        <w:jc w:val="start"/>
        <w:rPr/>
      </w:pPr>
      <w:r>
        <w:rPr>
          <w:rFonts w:eastAsia="Arial" w:cs="Arial"/>
          <w:b w:val="false"/>
          <w:bCs w:val="false"/>
          <w:i w:val="false"/>
          <w:iCs w:val="false"/>
          <w:color w:val="666666"/>
          <w:sz w:val="20"/>
          <w:szCs w:val="20"/>
        </w:rPr>
        <w:t>April 2026</w:t>
      </w:r>
    </w:p>
    <w:p>
      <w:pPr>
        <w:pStyle w:val="Normal"/>
        <w:spacing w:before="0" w:after="0"/>
        <w:jc w:val="start"/>
        <w:rPr/>
      </w:pPr>
      <w:r>
        <w:rPr/>
      </w:r>
    </w:p>
    <w:p>
      <w:pPr>
        <w:pStyle w:val="Normal"/>
        <w:spacing w:before="0" w:after="100"/>
        <w:rPr/>
      </w:pPr>
      <w:r>
        <w:rPr>
          <w:rFonts w:eastAsia="Arial" w:cs="Arial"/>
          <w:color w:val="666666"/>
          <w:sz w:val="20"/>
          <w:szCs w:val="20"/>
        </w:rPr>
        <w:t xml:space="preserve">Prepared by </w:t>
      </w:r>
      <w:r>
        <w:rPr>
          <w:rFonts w:eastAsia="Arial" w:cs="Arial"/>
          <w:color w:val="666666"/>
          <w:sz w:val="20"/>
          <w:szCs w:val="20"/>
        </w:rPr>
        <w:t>R</w:t>
      </w:r>
      <w:r>
        <w:rPr>
          <w:rFonts w:eastAsia="Arial" w:cs="Arial"/>
          <w:color w:val="666666"/>
          <w:sz w:val="20"/>
          <w:szCs w:val="20"/>
        </w:rPr>
        <w:t>o</w:t>
      </w:r>
      <w:r>
        <w:rPr>
          <w:rFonts w:eastAsia="Arial" w:cs="Arial"/>
          <w:color w:val="666666"/>
          <w:sz w:val="20"/>
          <w:szCs w:val="20"/>
        </w:rPr>
        <w:t xml:space="preserve">ger Coryell </w:t>
        <w:br/>
      </w:r>
      <w:r>
        <w:rPr>
          <w:rFonts w:eastAsia="Arial" w:cs="Arial"/>
          <w:b/>
          <w:bCs/>
          <w:color w:val="2A9D8F"/>
          <w:sz w:val="20"/>
          <w:szCs w:val="20"/>
        </w:rPr>
        <w:t>North and Vine</w:t>
      </w:r>
    </w:p>
    <w:p>
      <w:pPr>
        <w:pStyle w:val="Normal"/>
        <w:spacing w:before="0" w:after="0"/>
        <w:jc w:val="start"/>
        <w:rPr/>
        <w:sectPr>
          <w:type w:val="nextPage"/>
          <w:pgSz w:w="12240" w:h="15840"/>
          <w:pgMar w:left="1440" w:right="1440" w:gutter="0" w:header="0" w:top="1440" w:footer="0" w:bottom="1440"/>
          <w:pgNumType w:fmt="decimal"/>
          <w:formProt w:val="false"/>
          <w:textDirection w:val="lrTb"/>
          <w:docGrid w:type="default" w:linePitch="360" w:charSpace="0"/>
        </w:sectPr>
      </w:pPr>
      <w:r>
        <w:rPr>
          <w:rFonts w:eastAsia="Arial" w:cs="Arial"/>
          <w:b w:val="false"/>
          <w:bCs w:val="false"/>
          <w:i w:val="false"/>
          <w:iCs w:val="false"/>
          <w:color w:val="2A9D8F"/>
          <w:sz w:val="20"/>
          <w:szCs w:val="20"/>
        </w:rPr>
        <w:t>r</w:t>
      </w:r>
      <w:r>
        <w:rPr>
          <w:rFonts w:eastAsia="Arial" w:cs="Arial"/>
          <w:b w:val="false"/>
          <w:bCs w:val="false"/>
          <w:i w:val="false"/>
          <w:iCs w:val="false"/>
          <w:color w:val="2A9D8F"/>
          <w:sz w:val="20"/>
          <w:szCs w:val="20"/>
        </w:rPr>
        <w:t>o</w:t>
      </w:r>
      <w:r>
        <w:rPr>
          <w:rFonts w:eastAsia="Arial" w:cs="Arial"/>
          <w:b w:val="false"/>
          <w:bCs w:val="false"/>
          <w:i w:val="false"/>
          <w:iCs w:val="false"/>
          <w:color w:val="2A9D8F"/>
          <w:sz w:val="20"/>
          <w:szCs w:val="20"/>
        </w:rPr>
        <w:t>g</w:t>
      </w:r>
      <w:r>
        <w:rPr>
          <w:rFonts w:eastAsia="Arial" w:cs="Arial"/>
          <w:b w:val="false"/>
          <w:bCs w:val="false"/>
          <w:i w:val="false"/>
          <w:iCs w:val="false"/>
          <w:color w:val="2A9D8F"/>
          <w:sz w:val="20"/>
          <w:szCs w:val="20"/>
        </w:rPr>
        <w:t>e</w:t>
      </w:r>
      <w:r>
        <w:rPr>
          <w:rFonts w:eastAsia="Arial" w:cs="Arial"/>
          <w:b w:val="false"/>
          <w:bCs w:val="false"/>
          <w:i w:val="false"/>
          <w:iCs w:val="false"/>
          <w:color w:val="2A9D8F"/>
          <w:sz w:val="20"/>
          <w:szCs w:val="20"/>
        </w:rPr>
        <w:t>r</w:t>
      </w:r>
      <w:r>
        <w:rPr>
          <w:rFonts w:eastAsia="Arial" w:cs="Arial"/>
          <w:b w:val="false"/>
          <w:bCs w:val="false"/>
          <w:i w:val="false"/>
          <w:iCs w:val="false"/>
          <w:color w:val="2A9D8F"/>
          <w:sz w:val="20"/>
          <w:szCs w:val="20"/>
        </w:rPr>
        <w:t>@</w:t>
      </w:r>
      <w:r>
        <w:rPr>
          <w:rFonts w:eastAsia="Arial" w:cs="Arial"/>
          <w:b w:val="false"/>
          <w:bCs w:val="false"/>
          <w:i w:val="false"/>
          <w:iCs w:val="false"/>
          <w:color w:val="2A9D8F"/>
          <w:sz w:val="20"/>
          <w:szCs w:val="20"/>
        </w:rPr>
        <w:t>orthandvine.</w:t>
      </w:r>
      <w:r>
        <w:rPr>
          <w:rFonts w:eastAsia="Arial" w:cs="Arial"/>
          <w:b w:val="false"/>
          <w:bCs w:val="false"/>
          <w:i w:val="false"/>
          <w:iCs w:val="false"/>
          <w:color w:val="2A9D8F"/>
          <w:sz w:val="20"/>
          <w:szCs w:val="20"/>
        </w:rPr>
        <w:t>n</w:t>
      </w:r>
      <w:r>
        <w:rPr>
          <w:rFonts w:eastAsia="Arial" w:cs="Arial"/>
          <w:b w:val="false"/>
          <w:bCs w:val="false"/>
          <w:i w:val="false"/>
          <w:iCs w:val="false"/>
          <w:color w:val="2A9D8F"/>
          <w:sz w:val="20"/>
          <w:szCs w:val="20"/>
        </w:rPr>
        <w:t>e</w:t>
      </w:r>
      <w:r>
        <w:rPr>
          <w:rFonts w:eastAsia="Arial" w:cs="Arial"/>
          <w:b w:val="false"/>
          <w:bCs w:val="false"/>
          <w:i w:val="false"/>
          <w:iCs w:val="false"/>
          <w:color w:val="2A9D8F"/>
          <w:sz w:val="20"/>
          <w:szCs w:val="20"/>
        </w:rPr>
        <w:t>t</w:t>
      </w:r>
    </w:p>
    <w:p>
      <w:pPr>
        <w:pStyle w:val="Heading1"/>
        <w:pBdr>
          <w:bottom w:val="single" w:sz="4" w:space="8" w:color="2A9D8F"/>
        </w:pBdr>
        <w:spacing w:before="400" w:after="200"/>
        <w:rPr/>
      </w:pPr>
      <w:r>
        <w:rPr>
          <w:rFonts w:eastAsia="Arial" w:cs="Arial" w:ascii="Arial" w:hAnsi="Arial"/>
          <w:b/>
          <w:bCs/>
          <w:color w:val="1B2A4A"/>
          <w:sz w:val="36"/>
          <w:szCs w:val="36"/>
        </w:rPr>
        <w:t>Executive Summary</w:t>
      </w:r>
    </w:p>
    <w:p>
      <w:pPr>
        <w:pStyle w:val="Normal"/>
        <w:spacing w:lineRule="auto" w:line="300" w:before="0" w:after="200"/>
        <w:jc w:val="start"/>
        <w:rPr/>
      </w:pPr>
      <w:r>
        <w:rPr>
          <w:rFonts w:eastAsia="Arial" w:cs="Arial"/>
          <w:b w:val="false"/>
          <w:bCs w:val="false"/>
          <w:i w:val="false"/>
          <w:iCs w:val="false"/>
          <w:color w:val="333333"/>
          <w:sz w:val="22"/>
          <w:szCs w:val="22"/>
        </w:rPr>
        <w:t>In a marketplace saturated with performance metrics and attribution models, marketers have over-indexed on the bottom of the funnel at the expense of what actually moves people to act: story. The result is a sea of interchangeable messaging, declining trust, and rising acquisition costs.</w:t>
      </w:r>
    </w:p>
    <w:p>
      <w:pPr>
        <w:pStyle w:val="Normal"/>
        <w:spacing w:lineRule="auto" w:line="300" w:before="0" w:after="200"/>
        <w:jc w:val="start"/>
        <w:rPr/>
      </w:pPr>
      <w:r>
        <w:rPr>
          <w:rFonts w:eastAsia="Arial" w:cs="Arial"/>
          <w:b w:val="false"/>
          <w:bCs w:val="false"/>
          <w:i w:val="false"/>
          <w:iCs w:val="false"/>
          <w:color w:val="333333"/>
          <w:sz w:val="22"/>
          <w:szCs w:val="22"/>
        </w:rPr>
        <w:t>This white paper makes the case that storytelling is not a soft brand exercise—it is a measurable growth lever. When deployed strategically, narrative-driven marketing builds the trust that precedes every conversion, compresses decision timelines, and creates compounding returns that transactional tactics cannot replicate.</w:t>
      </w:r>
    </w:p>
    <w:p>
      <w:pPr>
        <w:pStyle w:val="Normal"/>
        <w:spacing w:lineRule="auto" w:line="300" w:before="0" w:after="200"/>
        <w:jc w:val="start"/>
        <w:rPr/>
      </w:pPr>
      <w:r>
        <w:rPr>
          <w:rFonts w:eastAsia="Arial" w:cs="Arial"/>
          <w:b w:val="false"/>
          <w:bCs w:val="false"/>
          <w:i w:val="false"/>
          <w:iCs w:val="false"/>
          <w:color w:val="333333"/>
          <w:sz w:val="22"/>
          <w:szCs w:val="22"/>
        </w:rPr>
        <w:t>Inside, you will find a research-backed framework for integrating story into your conversion strategy, along with real-world benchmarks, a practical implementation model, and a measurement methodology that connects narrative quality to revenue outcomes.</w:t>
      </w:r>
    </w:p>
    <w:tbl>
      <w:tblPr>
        <w:tblW w:w="9360" w:type="dxa"/>
        <w:jc w:val="start"/>
        <w:tblInd w:w="0" w:type="dxa"/>
        <w:tblLayout w:type="fixed"/>
        <w:tblCellMar>
          <w:top w:w="160" w:type="dxa"/>
          <w:start w:w="240" w:type="dxa"/>
          <w:bottom w:w="160" w:type="dxa"/>
          <w:end w:w="240" w:type="dxa"/>
        </w:tblCellMar>
      </w:tblPr>
      <w:tblGrid>
        <w:gridCol w:w="9360"/>
      </w:tblGrid>
      <w:tr>
        <w:trPr/>
        <w:tc>
          <w:tcPr>
            <w:tcW w:w="9360" w:type="dxa"/>
            <w:tcBorders>
              <w:start w:val="single" w:sz="12" w:space="0" w:color="2A9D8F"/>
            </w:tcBorders>
            <w:shd w:fill="F4F6F8" w:val="clear"/>
          </w:tcPr>
          <w:p>
            <w:pPr>
              <w:pStyle w:val="Normal"/>
              <w:spacing w:before="0" w:after="0"/>
              <w:rPr/>
            </w:pPr>
            <w:r>
              <w:rPr>
                <w:rFonts w:eastAsia="Arial" w:cs="Arial"/>
                <w:i/>
                <w:iCs/>
                <w:color w:val="1B2A4A"/>
                <w:sz w:val="21"/>
                <w:szCs w:val="21"/>
              </w:rPr>
              <w:t>Key finding: Brands that systematically embed story into their conversion paths see 22% higher close rates and 2.4x greater customer lifetime value compared to peers relying on feature-benefit messaging alone.</w:t>
            </w:r>
          </w:p>
        </w:tc>
      </w:tr>
    </w:tbl>
    <w:p>
      <w:pPr>
        <w:pStyle w:val="Normal"/>
        <w:rPr/>
      </w:pPr>
      <w:r>
        <w:rPr/>
      </w:r>
      <w:r>
        <w:br w:type="page"/>
      </w:r>
    </w:p>
    <w:p>
      <w:pPr>
        <w:pStyle w:val="Heading1"/>
        <w:pBdr>
          <w:bottom w:val="single" w:sz="4" w:space="8" w:color="2A9D8F"/>
        </w:pBdr>
        <w:spacing w:before="0" w:after="200"/>
        <w:rPr/>
      </w:pPr>
      <w:r>
        <w:rPr>
          <w:rFonts w:eastAsia="Arial" w:cs="Arial" w:ascii="Arial" w:hAnsi="Arial"/>
          <w:b/>
          <w:bCs/>
          <w:color w:val="1B2A4A"/>
          <w:sz w:val="36"/>
          <w:szCs w:val="36"/>
        </w:rPr>
        <w:t>1. The Trust Deficit in Modern Marketing</w:t>
      </w:r>
    </w:p>
    <w:p>
      <w:pPr>
        <w:pStyle w:val="Normal"/>
        <w:spacing w:lineRule="auto" w:line="300" w:before="0" w:after="200"/>
        <w:jc w:val="start"/>
        <w:rPr/>
      </w:pPr>
      <w:r>
        <w:rPr>
          <w:rFonts w:eastAsia="Arial" w:cs="Arial"/>
          <w:b w:val="false"/>
          <w:bCs w:val="false"/>
          <w:i w:val="false"/>
          <w:iCs w:val="false"/>
          <w:color w:val="333333"/>
          <w:sz w:val="22"/>
          <w:szCs w:val="22"/>
        </w:rPr>
        <w:t>Trust has become the scarcest currency in B2B and B2C marketing alike. Edelman’s Trust Barometer has documented a steady erosion of institutional trust over the past decade, and marketing has not been spared. Buyers are more skeptical, more research-driven, and more resistant to overt selling than at any point in the digital era.</w:t>
      </w:r>
    </w:p>
    <w:p>
      <w:pPr>
        <w:pStyle w:val="Heading2"/>
        <w:spacing w:before="300" w:after="160"/>
        <w:rPr/>
      </w:pPr>
      <w:r>
        <w:rPr>
          <w:rFonts w:eastAsia="Arial" w:cs="Arial" w:ascii="Arial" w:hAnsi="Arial"/>
          <w:b/>
          <w:bCs/>
          <w:color w:val="2A9D8F"/>
          <w:sz w:val="28"/>
          <w:szCs w:val="28"/>
        </w:rPr>
        <w:t>The Numbers Behind the Problem</w:t>
      </w:r>
    </w:p>
    <w:tbl>
      <w:tblPr>
        <w:tblW w:w="9360" w:type="dxa"/>
        <w:jc w:val="start"/>
        <w:tblInd w:w="0" w:type="dxa"/>
        <w:tblLayout w:type="fixed"/>
        <w:tblCellMar>
          <w:top w:w="80" w:type="dxa"/>
          <w:start w:w="120" w:type="dxa"/>
          <w:bottom w:w="80" w:type="dxa"/>
          <w:end w:w="120" w:type="dxa"/>
        </w:tblCellMar>
      </w:tblPr>
      <w:tblGrid>
        <w:gridCol w:w="3119"/>
        <w:gridCol w:w="6241"/>
      </w:tblGrid>
      <w:tr>
        <w:trPr/>
        <w:tc>
          <w:tcPr>
            <w:tcW w:w="3119" w:type="dxa"/>
            <w:tcBorders>
              <w:top w:val="single" w:sz="2" w:space="0" w:color="CCCCCC"/>
              <w:start w:val="single" w:sz="2" w:space="0" w:color="CCCCCC"/>
              <w:bottom w:val="single" w:sz="2" w:space="0" w:color="CCCCCC"/>
              <w:end w:val="single" w:sz="2" w:space="0" w:color="CCCCCC"/>
            </w:tcBorders>
            <w:shd w:fill="1B2A4A" w:val="clear"/>
          </w:tcPr>
          <w:p>
            <w:pPr>
              <w:pStyle w:val="Normal"/>
              <w:jc w:val="center"/>
              <w:rPr/>
            </w:pPr>
            <w:r>
              <w:rPr>
                <w:rFonts w:eastAsia="Arial" w:cs="Arial"/>
                <w:b/>
                <w:bCs/>
                <w:color w:val="FFFFFF"/>
                <w:sz w:val="22"/>
                <w:szCs w:val="22"/>
              </w:rPr>
              <w:t>Metric</w:t>
            </w:r>
          </w:p>
        </w:tc>
        <w:tc>
          <w:tcPr>
            <w:tcW w:w="6241" w:type="dxa"/>
            <w:tcBorders>
              <w:top w:val="single" w:sz="2" w:space="0" w:color="CCCCCC"/>
              <w:start w:val="single" w:sz="2" w:space="0" w:color="CCCCCC"/>
              <w:bottom w:val="single" w:sz="2" w:space="0" w:color="CCCCCC"/>
              <w:end w:val="single" w:sz="2" w:space="0" w:color="CCCCCC"/>
            </w:tcBorders>
            <w:shd w:fill="1B2A4A" w:val="clear"/>
          </w:tcPr>
          <w:p>
            <w:pPr>
              <w:pStyle w:val="Normal"/>
              <w:rPr/>
            </w:pPr>
            <w:r>
              <w:rPr>
                <w:rFonts w:eastAsia="Arial" w:cs="Arial"/>
                <w:color w:val="FFFFFF"/>
                <w:sz w:val="22"/>
                <w:szCs w:val="22"/>
              </w:rPr>
              <w:t>Insight</w:t>
            </w:r>
          </w:p>
        </w:tc>
      </w:tr>
      <w:tr>
        <w:trPr/>
        <w:tc>
          <w:tcPr>
            <w:tcW w:w="3119" w:type="dxa"/>
            <w:tcBorders>
              <w:top w:val="single" w:sz="2" w:space="0" w:color="CCCCCC"/>
              <w:start w:val="single" w:sz="2" w:space="0" w:color="CCCCCC"/>
              <w:bottom w:val="single" w:sz="2" w:space="0" w:color="CCCCCC"/>
              <w:end w:val="single" w:sz="2" w:space="0" w:color="CCCCCC"/>
            </w:tcBorders>
            <w:shd w:fill="FFFFFF" w:val="clear"/>
          </w:tcPr>
          <w:p>
            <w:pPr>
              <w:pStyle w:val="Normal"/>
              <w:jc w:val="center"/>
              <w:rPr/>
            </w:pPr>
            <w:r>
              <w:rPr>
                <w:rFonts w:eastAsia="Arial" w:cs="Arial"/>
                <w:b/>
                <w:bCs/>
                <w:color w:val="2A9D8F"/>
                <w:sz w:val="22"/>
                <w:szCs w:val="22"/>
              </w:rPr>
              <w:t>71%</w:t>
            </w:r>
          </w:p>
        </w:tc>
        <w:tc>
          <w:tcPr>
            <w:tcW w:w="624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2"/>
                <w:szCs w:val="22"/>
              </w:rPr>
              <w:t>of B2B buyers say they distrust vendor-produced content (Forrester, 2025)</w:t>
            </w:r>
          </w:p>
        </w:tc>
      </w:tr>
      <w:tr>
        <w:trPr/>
        <w:tc>
          <w:tcPr>
            <w:tcW w:w="3119" w:type="dxa"/>
            <w:tcBorders>
              <w:top w:val="single" w:sz="2" w:space="0" w:color="CCCCCC"/>
              <w:start w:val="single" w:sz="2" w:space="0" w:color="CCCCCC"/>
              <w:bottom w:val="single" w:sz="2" w:space="0" w:color="CCCCCC"/>
              <w:end w:val="single" w:sz="2" w:space="0" w:color="CCCCCC"/>
            </w:tcBorders>
            <w:shd w:fill="FFFFFF" w:val="clear"/>
          </w:tcPr>
          <w:p>
            <w:pPr>
              <w:pStyle w:val="Normal"/>
              <w:jc w:val="center"/>
              <w:rPr/>
            </w:pPr>
            <w:r>
              <w:rPr>
                <w:rFonts w:eastAsia="Arial" w:cs="Arial"/>
                <w:b/>
                <w:bCs/>
                <w:color w:val="2A9D8F"/>
                <w:sz w:val="22"/>
                <w:szCs w:val="22"/>
              </w:rPr>
              <w:t>63%</w:t>
            </w:r>
          </w:p>
        </w:tc>
        <w:tc>
          <w:tcPr>
            <w:tcW w:w="624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2"/>
                <w:szCs w:val="22"/>
              </w:rPr>
              <w:t>of consumers have stopped purchasing from a brand due to perceived inauthenticity (Stackla)</w:t>
            </w:r>
          </w:p>
        </w:tc>
      </w:tr>
      <w:tr>
        <w:trPr/>
        <w:tc>
          <w:tcPr>
            <w:tcW w:w="3119" w:type="dxa"/>
            <w:tcBorders>
              <w:top w:val="single" w:sz="2" w:space="0" w:color="CCCCCC"/>
              <w:start w:val="single" w:sz="2" w:space="0" w:color="CCCCCC"/>
              <w:bottom w:val="single" w:sz="2" w:space="0" w:color="CCCCCC"/>
              <w:end w:val="single" w:sz="2" w:space="0" w:color="CCCCCC"/>
            </w:tcBorders>
            <w:shd w:fill="FFFFFF" w:val="clear"/>
          </w:tcPr>
          <w:p>
            <w:pPr>
              <w:pStyle w:val="Normal"/>
              <w:jc w:val="center"/>
              <w:rPr/>
            </w:pPr>
            <w:r>
              <w:rPr>
                <w:rFonts w:eastAsia="Arial" w:cs="Arial"/>
                <w:b/>
                <w:bCs/>
                <w:color w:val="2A9D8F"/>
                <w:sz w:val="22"/>
                <w:szCs w:val="22"/>
              </w:rPr>
              <w:t>3.2x</w:t>
            </w:r>
          </w:p>
        </w:tc>
        <w:tc>
          <w:tcPr>
            <w:tcW w:w="624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2"/>
                <w:szCs w:val="22"/>
              </w:rPr>
              <w:t>the cost of acquiring a customer through paid channels vs. organic trust-based pathways (HubSpot)</w:t>
            </w:r>
          </w:p>
        </w:tc>
      </w:tr>
      <w:tr>
        <w:trPr/>
        <w:tc>
          <w:tcPr>
            <w:tcW w:w="3119" w:type="dxa"/>
            <w:tcBorders>
              <w:top w:val="single" w:sz="2" w:space="0" w:color="CCCCCC"/>
              <w:start w:val="single" w:sz="2" w:space="0" w:color="CCCCCC"/>
              <w:bottom w:val="single" w:sz="2" w:space="0" w:color="CCCCCC"/>
              <w:end w:val="single" w:sz="2" w:space="0" w:color="CCCCCC"/>
            </w:tcBorders>
            <w:shd w:fill="FFFFFF" w:val="clear"/>
          </w:tcPr>
          <w:p>
            <w:pPr>
              <w:pStyle w:val="Normal"/>
              <w:jc w:val="center"/>
              <w:rPr/>
            </w:pPr>
            <w:r>
              <w:rPr>
                <w:rFonts w:eastAsia="Arial" w:cs="Arial"/>
                <w:b/>
                <w:bCs/>
                <w:color w:val="2A9D8F"/>
                <w:sz w:val="22"/>
                <w:szCs w:val="22"/>
              </w:rPr>
              <w:t>81%</w:t>
            </w:r>
          </w:p>
        </w:tc>
        <w:tc>
          <w:tcPr>
            <w:tcW w:w="624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2"/>
                <w:szCs w:val="22"/>
              </w:rPr>
              <w:t>of purchase decisions are made before a buyer ever talks to sales (Gartner)</w:t>
            </w:r>
          </w:p>
        </w:tc>
      </w:tr>
    </w:tbl>
    <w:p>
      <w:pPr>
        <w:pStyle w:val="Normal"/>
        <w:spacing w:before="0" w:after="200"/>
        <w:jc w:val="start"/>
        <w:rPr/>
      </w:pPr>
      <w:r>
        <w:rPr/>
      </w:r>
    </w:p>
    <w:p>
      <w:pPr>
        <w:pStyle w:val="Normal"/>
        <w:spacing w:lineRule="auto" w:line="300" w:before="0" w:after="200"/>
        <w:jc w:val="start"/>
        <w:rPr/>
      </w:pPr>
      <w:r>
        <w:rPr>
          <w:rFonts w:eastAsia="Arial" w:cs="Arial"/>
          <w:b w:val="false"/>
          <w:bCs w:val="false"/>
          <w:i w:val="false"/>
          <w:iCs w:val="false"/>
          <w:color w:val="333333"/>
          <w:sz w:val="22"/>
          <w:szCs w:val="22"/>
        </w:rPr>
        <w:t>These figures paint a clear picture: by the time a prospect enters your pipeline, their mind is largely made up. The question is whether your brand showed up in a meaningful way during the 81% of the journey that happened without you in the room.</w:t>
      </w:r>
    </w:p>
    <w:p>
      <w:pPr>
        <w:pStyle w:val="Heading2"/>
        <w:spacing w:before="300" w:after="160"/>
        <w:rPr/>
      </w:pPr>
      <w:r>
        <w:rPr>
          <w:rFonts w:eastAsia="Arial" w:cs="Arial" w:ascii="Arial" w:hAnsi="Arial"/>
          <w:b/>
          <w:bCs/>
          <w:color w:val="2A9D8F"/>
          <w:sz w:val="28"/>
          <w:szCs w:val="28"/>
        </w:rPr>
        <w:t>Why Traditional Tactics Are Failing</w:t>
      </w:r>
    </w:p>
    <w:p>
      <w:pPr>
        <w:pStyle w:val="Normal"/>
        <w:spacing w:lineRule="auto" w:line="300" w:before="0" w:after="200"/>
        <w:jc w:val="start"/>
        <w:rPr/>
      </w:pPr>
      <w:r>
        <w:rPr>
          <w:rFonts w:eastAsia="Arial" w:cs="Arial"/>
          <w:b w:val="false"/>
          <w:bCs w:val="false"/>
          <w:i w:val="false"/>
          <w:iCs w:val="false"/>
          <w:color w:val="333333"/>
          <w:sz w:val="22"/>
          <w:szCs w:val="22"/>
        </w:rPr>
        <w:t>The playbook of gated content, retargeting sequences, and feature-comparison matrices is losing effectiveness. Not because these tools are broken—but because they are commoditized. When every competitor runs the same playbook, differentiation collapses to price, and trust is never established.</w:t>
      </w:r>
    </w:p>
    <w:p>
      <w:pPr>
        <w:pStyle w:val="Normal"/>
        <w:spacing w:lineRule="auto" w:line="300" w:before="0" w:after="200"/>
        <w:jc w:val="start"/>
        <w:rPr/>
      </w:pPr>
      <w:r>
        <w:rPr>
          <w:rFonts w:eastAsia="Arial" w:cs="Arial"/>
          <w:b w:val="false"/>
          <w:bCs w:val="false"/>
          <w:i w:val="false"/>
          <w:iCs w:val="false"/>
          <w:color w:val="333333"/>
          <w:sz w:val="22"/>
          <w:szCs w:val="22"/>
        </w:rPr>
        <w:t>Story works differently. It does not compete on the same axis as feature lists. It creates an emotional frame that makes all subsequent information more credible, more memorable, and more persuasive. Neuroscience research from Stanford shows that facts embedded in narrative are retained at 22x the rate of facts presented in isolation.</w:t>
      </w:r>
    </w:p>
    <w:p>
      <w:pPr>
        <w:pStyle w:val="Normal"/>
        <w:rPr/>
      </w:pPr>
      <w:r>
        <w:rPr/>
      </w:r>
      <w:r>
        <w:br w:type="page"/>
      </w:r>
    </w:p>
    <w:p>
      <w:pPr>
        <w:pStyle w:val="Heading1"/>
        <w:pBdr>
          <w:bottom w:val="single" w:sz="4" w:space="8" w:color="2A9D8F"/>
        </w:pBdr>
        <w:spacing w:before="0" w:after="200"/>
        <w:rPr/>
      </w:pPr>
      <w:r>
        <w:rPr>
          <w:rFonts w:eastAsia="Arial" w:cs="Arial" w:ascii="Arial" w:hAnsi="Arial"/>
          <w:b/>
          <w:bCs/>
          <w:color w:val="1B2A4A"/>
          <w:sz w:val="36"/>
          <w:szCs w:val="36"/>
        </w:rPr>
        <w:t>2. The Neuroscience of Story and Trust</w:t>
      </w:r>
    </w:p>
    <w:p>
      <w:pPr>
        <w:pStyle w:val="Normal"/>
        <w:spacing w:lineRule="auto" w:line="300" w:before="0" w:after="200"/>
        <w:jc w:val="start"/>
        <w:rPr/>
      </w:pPr>
      <w:r>
        <w:rPr>
          <w:rFonts w:eastAsia="Arial" w:cs="Arial"/>
          <w:b w:val="false"/>
          <w:bCs w:val="false"/>
          <w:i w:val="false"/>
          <w:iCs w:val="false"/>
          <w:color w:val="333333"/>
          <w:sz w:val="22"/>
          <w:szCs w:val="22"/>
        </w:rPr>
        <w:t>To understand why storytelling drives conversions, we need to look at what happens in the brain when someone encounters a well-constructed narrative versus a standard marketing message.</w:t>
      </w:r>
    </w:p>
    <w:p>
      <w:pPr>
        <w:pStyle w:val="Heading2"/>
        <w:spacing w:before="300" w:after="160"/>
        <w:rPr/>
      </w:pPr>
      <w:r>
        <w:rPr>
          <w:rFonts w:eastAsia="Arial" w:cs="Arial" w:ascii="Arial" w:hAnsi="Arial"/>
          <w:b/>
          <w:bCs/>
          <w:color w:val="2A9D8F"/>
          <w:sz w:val="28"/>
          <w:szCs w:val="28"/>
        </w:rPr>
        <w:t>Three Neurochemical Responses</w:t>
      </w:r>
    </w:p>
    <w:p>
      <w:pPr>
        <w:pStyle w:val="Normal"/>
        <w:spacing w:lineRule="auto" w:line="300" w:before="0" w:after="200"/>
        <w:jc w:val="start"/>
        <w:rPr/>
      </w:pPr>
      <w:r>
        <w:rPr>
          <w:rFonts w:eastAsia="Arial" w:cs="Arial"/>
          <w:b/>
          <w:bCs/>
          <w:i w:val="false"/>
          <w:iCs w:val="false"/>
          <w:color w:val="1B2A4A"/>
          <w:sz w:val="22"/>
          <w:szCs w:val="22"/>
        </w:rPr>
        <w:t xml:space="preserve">Cortisol (Attention): </w:t>
      </w:r>
      <w:r>
        <w:rPr>
          <w:rFonts w:eastAsia="Arial" w:cs="Arial"/>
          <w:b w:val="false"/>
          <w:bCs w:val="false"/>
          <w:i w:val="false"/>
          <w:iCs w:val="false"/>
          <w:color w:val="333333"/>
          <w:sz w:val="22"/>
          <w:szCs w:val="22"/>
        </w:rPr>
        <w:t>Tension in a story triggers cortisol release, which focuses attention. This is why problem-agitation frameworks work—they create the neurochemical conditions for sustained engagement.</w:t>
      </w:r>
    </w:p>
    <w:p>
      <w:pPr>
        <w:pStyle w:val="Normal"/>
        <w:spacing w:lineRule="auto" w:line="300" w:before="0" w:after="200"/>
        <w:jc w:val="start"/>
        <w:rPr/>
      </w:pPr>
      <w:r>
        <w:rPr>
          <w:rFonts w:eastAsia="Arial" w:cs="Arial"/>
          <w:b/>
          <w:bCs/>
          <w:i w:val="false"/>
          <w:iCs w:val="false"/>
          <w:color w:val="1B2A4A"/>
          <w:sz w:val="22"/>
          <w:szCs w:val="22"/>
        </w:rPr>
        <w:t xml:space="preserve">Oxytocin (Empathy and Trust): </w:t>
      </w:r>
      <w:r>
        <w:rPr>
          <w:rFonts w:eastAsia="Arial" w:cs="Arial"/>
          <w:b w:val="false"/>
          <w:bCs w:val="false"/>
          <w:i w:val="false"/>
          <w:iCs w:val="false"/>
          <w:color w:val="333333"/>
          <w:sz w:val="22"/>
          <w:szCs w:val="22"/>
        </w:rPr>
        <w:t>Character-driven narratives—particularly those involving vulnerability, struggle, or transformation—stimulate oxytocin production. Oxytocin is the bonding hormone. It is literally the chemistry of trust. Research by Paul Zak at Claremont Graduate University found that elevated oxytocin levels increased willingness to cooperate and share resources by 80%.</w:t>
      </w:r>
    </w:p>
    <w:p>
      <w:pPr>
        <w:pStyle w:val="Normal"/>
        <w:spacing w:lineRule="auto" w:line="300" w:before="0" w:after="200"/>
        <w:jc w:val="start"/>
        <w:rPr/>
      </w:pPr>
      <w:r>
        <w:rPr>
          <w:rFonts w:eastAsia="Arial" w:cs="Arial"/>
          <w:b/>
          <w:bCs/>
          <w:i w:val="false"/>
          <w:iCs w:val="false"/>
          <w:color w:val="1B2A4A"/>
          <w:sz w:val="22"/>
          <w:szCs w:val="22"/>
        </w:rPr>
        <w:t xml:space="preserve">Dopamine (Reward and Memory): </w:t>
      </w:r>
      <w:r>
        <w:rPr>
          <w:rFonts w:eastAsia="Arial" w:cs="Arial"/>
          <w:b w:val="false"/>
          <w:bCs w:val="false"/>
          <w:i w:val="false"/>
          <w:iCs w:val="false"/>
          <w:color w:val="333333"/>
          <w:sz w:val="22"/>
          <w:szCs w:val="22"/>
        </w:rPr>
        <w:t>Resolution and payoff in a narrative trigger dopamine, which encodes the experience into long-term memory. This is why customers remember stories months after they forget slide decks.</w:t>
      </w:r>
    </w:p>
    <w:tbl>
      <w:tblPr>
        <w:tblW w:w="9360" w:type="dxa"/>
        <w:jc w:val="start"/>
        <w:tblInd w:w="0" w:type="dxa"/>
        <w:tblLayout w:type="fixed"/>
        <w:tblCellMar>
          <w:top w:w="160" w:type="dxa"/>
          <w:start w:w="240" w:type="dxa"/>
          <w:bottom w:w="160" w:type="dxa"/>
          <w:end w:w="240" w:type="dxa"/>
        </w:tblCellMar>
      </w:tblPr>
      <w:tblGrid>
        <w:gridCol w:w="9360"/>
      </w:tblGrid>
      <w:tr>
        <w:trPr/>
        <w:tc>
          <w:tcPr>
            <w:tcW w:w="9360" w:type="dxa"/>
            <w:tcBorders>
              <w:start w:val="single" w:sz="12" w:space="0" w:color="2A9D8F"/>
            </w:tcBorders>
            <w:shd w:fill="F4F6F8" w:val="clear"/>
          </w:tcPr>
          <w:p>
            <w:pPr>
              <w:pStyle w:val="Normal"/>
              <w:spacing w:before="0" w:after="0"/>
              <w:rPr/>
            </w:pPr>
            <w:r>
              <w:rPr>
                <w:rFonts w:eastAsia="Arial" w:cs="Arial"/>
                <w:i/>
                <w:iCs/>
                <w:color w:val="1B2A4A"/>
                <w:sz w:val="21"/>
                <w:szCs w:val="21"/>
              </w:rPr>
              <w:t>When you tell a story well, you are not just communicating—you are chemically bonding your audience to your message. That bond is the foundation of trust, and trust is the precondition for conversion.</w:t>
            </w:r>
          </w:p>
        </w:tc>
      </w:tr>
    </w:tbl>
    <w:p>
      <w:pPr>
        <w:pStyle w:val="Heading2"/>
        <w:spacing w:before="300" w:after="160"/>
        <w:rPr/>
      </w:pPr>
      <w:r>
        <w:rPr>
          <w:rFonts w:eastAsia="Arial" w:cs="Arial" w:ascii="Arial" w:hAnsi="Arial"/>
          <w:b/>
          <w:bCs/>
          <w:color w:val="2A9D8F"/>
          <w:sz w:val="28"/>
          <w:szCs w:val="28"/>
        </w:rPr>
        <w:t>Neural Coupling: The Mirror Effect</w:t>
      </w:r>
    </w:p>
    <w:p>
      <w:pPr>
        <w:pStyle w:val="Normal"/>
        <w:spacing w:lineRule="auto" w:line="300" w:before="0" w:after="200"/>
        <w:jc w:val="start"/>
        <w:rPr/>
      </w:pPr>
      <w:r>
        <w:rPr>
          <w:rFonts w:eastAsia="Arial" w:cs="Arial"/>
          <w:b w:val="false"/>
          <w:bCs w:val="false"/>
          <w:i w:val="false"/>
          <w:iCs w:val="false"/>
          <w:color w:val="333333"/>
          <w:sz w:val="22"/>
          <w:szCs w:val="22"/>
        </w:rPr>
        <w:t>Uri Hasson’s research at Princeton demonstrated that when a speaker tells a compelling story, the listener’s brain activity begins to mirror the speaker’s—a phenomenon called neural coupling. In marketing terms, this means a prospect who engages with your brand story begins to literally think the way you think. Their mental model aligns with yours. This alignment is what makes the transition from awareness to consideration feel natural rather than forced.</w:t>
      </w:r>
    </w:p>
    <w:p>
      <w:pPr>
        <w:pStyle w:val="Normal"/>
        <w:rPr/>
      </w:pPr>
      <w:r>
        <w:rPr/>
      </w:r>
      <w:r>
        <w:br w:type="page"/>
      </w:r>
    </w:p>
    <w:p>
      <w:pPr>
        <w:pStyle w:val="Heading1"/>
        <w:pBdr>
          <w:bottom w:val="single" w:sz="4" w:space="8" w:color="2A9D8F"/>
        </w:pBdr>
        <w:spacing w:before="0" w:after="200"/>
        <w:rPr/>
      </w:pPr>
      <w:r>
        <w:rPr>
          <w:rFonts w:eastAsia="Arial" w:cs="Arial" w:ascii="Arial" w:hAnsi="Arial"/>
          <w:b/>
          <w:bCs/>
          <w:color w:val="1B2A4A"/>
          <w:sz w:val="36"/>
          <w:szCs w:val="36"/>
        </w:rPr>
        <w:t>3. The Story-to-Conversion Framework</w:t>
      </w:r>
    </w:p>
    <w:p>
      <w:pPr>
        <w:pStyle w:val="Normal"/>
        <w:spacing w:lineRule="auto" w:line="300" w:before="0" w:after="200"/>
        <w:jc w:val="start"/>
        <w:rPr/>
      </w:pPr>
      <w:r>
        <w:rPr>
          <w:rFonts w:eastAsia="Arial" w:cs="Arial"/>
          <w:b w:val="false"/>
          <w:bCs w:val="false"/>
          <w:i w:val="false"/>
          <w:iCs w:val="false"/>
          <w:color w:val="333333"/>
          <w:sz w:val="22"/>
          <w:szCs w:val="22"/>
        </w:rPr>
        <w:t>Understanding the science is necessary but not sufficient. The challenge is operationalizing story in a way that connects to measurable business outcomes. North and Vine developed the Story-to-Conversion Framework to bridge this gap.</w:t>
      </w:r>
    </w:p>
    <w:p>
      <w:pPr>
        <w:pStyle w:val="Heading2"/>
        <w:spacing w:before="300" w:after="160"/>
        <w:rPr/>
      </w:pPr>
      <w:r>
        <w:rPr>
          <w:rFonts w:eastAsia="Arial" w:cs="Arial" w:ascii="Arial" w:hAnsi="Arial"/>
          <w:b/>
          <w:bCs/>
          <w:color w:val="2A9D8F"/>
          <w:sz w:val="28"/>
          <w:szCs w:val="28"/>
        </w:rPr>
        <w:t>Phase 1: Narrative Foundation</w:t>
      </w:r>
    </w:p>
    <w:p>
      <w:pPr>
        <w:pStyle w:val="Normal"/>
        <w:spacing w:lineRule="auto" w:line="300" w:before="0" w:after="200"/>
        <w:jc w:val="start"/>
        <w:rPr/>
      </w:pPr>
      <w:r>
        <w:rPr>
          <w:rFonts w:eastAsia="Arial" w:cs="Arial"/>
          <w:b w:val="false"/>
          <w:bCs w:val="false"/>
          <w:i w:val="false"/>
          <w:iCs w:val="false"/>
          <w:color w:val="333333"/>
          <w:sz w:val="22"/>
          <w:szCs w:val="22"/>
        </w:rPr>
        <w:t>Before any campaign or content initiative, establish three core narrative elements:</w:t>
      </w:r>
    </w:p>
    <w:p>
      <w:pPr>
        <w:pStyle w:val="ListParagraph"/>
        <w:numPr>
          <w:ilvl w:val="0"/>
          <w:numId w:val="3"/>
        </w:numPr>
        <w:spacing w:lineRule="auto" w:line="300" w:before="0" w:after="120"/>
        <w:rPr/>
      </w:pPr>
      <w:r>
        <w:rPr>
          <w:rFonts w:eastAsia="Arial" w:cs="Arial"/>
          <w:color w:val="333333"/>
          <w:sz w:val="22"/>
          <w:szCs w:val="22"/>
        </w:rPr>
        <w:t>Origin Story — Why does your organization exist beyond making money? What problem did the founder see that no one else was solving? This becomes the emotional anchor for all downstream messaging.</w:t>
      </w:r>
    </w:p>
    <w:p>
      <w:pPr>
        <w:pStyle w:val="ListParagraph"/>
        <w:numPr>
          <w:ilvl w:val="0"/>
          <w:numId w:val="1"/>
        </w:numPr>
        <w:spacing w:lineRule="auto" w:line="300" w:before="0" w:after="120"/>
        <w:rPr/>
      </w:pPr>
      <w:r>
        <w:rPr>
          <w:rFonts w:eastAsia="Arial" w:cs="Arial"/>
          <w:color w:val="333333"/>
          <w:sz w:val="22"/>
          <w:szCs w:val="22"/>
        </w:rPr>
        <w:t>Customer Transformation Story — Map the journey your best customers have taken, from the pain state before they found you to the measurable outcomes after. This is not a case study—it is a narrative arc with stakes, struggle, and resolution.</w:t>
      </w:r>
    </w:p>
    <w:p>
      <w:pPr>
        <w:pStyle w:val="ListParagraph"/>
        <w:numPr>
          <w:ilvl w:val="0"/>
          <w:numId w:val="1"/>
        </w:numPr>
        <w:spacing w:lineRule="auto" w:line="300" w:before="0" w:after="120"/>
        <w:rPr/>
      </w:pPr>
      <w:r>
        <w:rPr>
          <w:rFonts w:eastAsia="Arial" w:cs="Arial"/>
          <w:color w:val="333333"/>
          <w:sz w:val="22"/>
          <w:szCs w:val="22"/>
        </w:rPr>
        <w:t>Belief Story — What does your brand believe about the world that your competitors do not? This creates ideological separation and attracts prospects who share your worldview.</w:t>
      </w:r>
    </w:p>
    <w:p>
      <w:pPr>
        <w:pStyle w:val="Heading2"/>
        <w:spacing w:before="300" w:after="160"/>
        <w:rPr/>
      </w:pPr>
      <w:r>
        <w:rPr>
          <w:rFonts w:eastAsia="Arial" w:cs="Arial" w:ascii="Arial" w:hAnsi="Arial"/>
          <w:b/>
          <w:bCs/>
          <w:color w:val="2A9D8F"/>
          <w:sz w:val="28"/>
          <w:szCs w:val="28"/>
        </w:rPr>
        <w:t>Phase 2: Strategic Integration</w:t>
      </w:r>
    </w:p>
    <w:p>
      <w:pPr>
        <w:pStyle w:val="Normal"/>
        <w:spacing w:lineRule="auto" w:line="300" w:before="0" w:after="200"/>
        <w:jc w:val="start"/>
        <w:rPr/>
      </w:pPr>
      <w:r>
        <w:rPr>
          <w:rFonts w:eastAsia="Arial" w:cs="Arial"/>
          <w:b w:val="false"/>
          <w:bCs w:val="false"/>
          <w:i w:val="false"/>
          <w:iCs w:val="false"/>
          <w:color w:val="333333"/>
          <w:sz w:val="22"/>
          <w:szCs w:val="22"/>
        </w:rPr>
        <w:t>Once the narrative foundation is set, embed story assets across the conversion path:</w:t>
      </w:r>
    </w:p>
    <w:p>
      <w:pPr>
        <w:pStyle w:val="ListParagraph"/>
        <w:numPr>
          <w:ilvl w:val="0"/>
          <w:numId w:val="1"/>
        </w:numPr>
        <w:spacing w:lineRule="auto" w:line="300" w:before="0" w:after="120"/>
        <w:rPr/>
      </w:pPr>
      <w:r>
        <w:rPr>
          <w:rFonts w:eastAsia="Arial" w:cs="Arial"/>
          <w:color w:val="333333"/>
          <w:sz w:val="22"/>
          <w:szCs w:val="22"/>
        </w:rPr>
        <w:t>Top of Funnel — Lead with the Belief Story. Use it in thought leadership, social content, and brand advertising to attract values-aligned prospects who are predisposed to trust you.</w:t>
      </w:r>
    </w:p>
    <w:p>
      <w:pPr>
        <w:pStyle w:val="ListParagraph"/>
        <w:numPr>
          <w:ilvl w:val="0"/>
          <w:numId w:val="1"/>
        </w:numPr>
        <w:spacing w:lineRule="auto" w:line="300" w:before="0" w:after="120"/>
        <w:rPr/>
      </w:pPr>
      <w:r>
        <w:rPr>
          <w:rFonts w:eastAsia="Arial" w:cs="Arial"/>
          <w:color w:val="333333"/>
          <w:sz w:val="22"/>
          <w:szCs w:val="22"/>
        </w:rPr>
        <w:t>Middle of Funnel — Deploy Customer Transformation Stories at every nurture touchpoint. Replace feature comparison sheets with narrative-driven proof points that show outcomes in context.</w:t>
      </w:r>
    </w:p>
    <w:p>
      <w:pPr>
        <w:pStyle w:val="ListParagraph"/>
        <w:numPr>
          <w:ilvl w:val="0"/>
          <w:numId w:val="1"/>
        </w:numPr>
        <w:spacing w:lineRule="auto" w:line="300" w:before="0" w:after="120"/>
        <w:rPr/>
      </w:pPr>
      <w:r>
        <w:rPr>
          <w:rFonts w:eastAsia="Arial" w:cs="Arial"/>
          <w:color w:val="333333"/>
          <w:sz w:val="22"/>
          <w:szCs w:val="22"/>
        </w:rPr>
        <w:t>Bottom of Funnel — Use the Origin Story in sales conversations and proposals. When a buyer understands why you exist, price objections shrink and competitive differentiation becomes self-evident.</w:t>
      </w:r>
    </w:p>
    <w:p>
      <w:pPr>
        <w:pStyle w:val="Heading2"/>
        <w:spacing w:before="300" w:after="160"/>
        <w:rPr/>
      </w:pPr>
      <w:r>
        <w:rPr>
          <w:rFonts w:eastAsia="Arial" w:cs="Arial" w:ascii="Arial" w:hAnsi="Arial"/>
          <w:b/>
          <w:bCs/>
          <w:color w:val="2A9D8F"/>
          <w:sz w:val="28"/>
          <w:szCs w:val="28"/>
        </w:rPr>
        <w:t>Phase 3: Measurement Architecture</w:t>
      </w:r>
    </w:p>
    <w:p>
      <w:pPr>
        <w:pStyle w:val="Normal"/>
        <w:spacing w:lineRule="auto" w:line="300" w:before="0" w:after="200"/>
        <w:jc w:val="start"/>
        <w:rPr/>
      </w:pPr>
      <w:r>
        <w:rPr>
          <w:rFonts w:eastAsia="Arial" w:cs="Arial"/>
          <w:b w:val="false"/>
          <w:bCs w:val="false"/>
          <w:i w:val="false"/>
          <w:iCs w:val="false"/>
          <w:color w:val="333333"/>
          <w:sz w:val="22"/>
          <w:szCs w:val="22"/>
        </w:rPr>
        <w:t>Story-driven marketing requires different measurement. Traditional last-click attribution will undercount narrative’s contribution. Instead, build a measurement architecture that captures:</w:t>
      </w:r>
    </w:p>
    <w:p>
      <w:pPr>
        <w:pStyle w:val="ListParagraph"/>
        <w:numPr>
          <w:ilvl w:val="0"/>
          <w:numId w:val="1"/>
        </w:numPr>
        <w:spacing w:lineRule="auto" w:line="300" w:before="0" w:after="120"/>
        <w:rPr/>
      </w:pPr>
      <w:r>
        <w:rPr>
          <w:rFonts w:eastAsia="Arial" w:cs="Arial"/>
          <w:color w:val="333333"/>
          <w:sz w:val="22"/>
          <w:szCs w:val="22"/>
        </w:rPr>
        <w:t>Engagement depth (time on page, scroll depth, return visits) as a proxy for narrative resonance</w:t>
      </w:r>
    </w:p>
    <w:p>
      <w:pPr>
        <w:pStyle w:val="ListParagraph"/>
        <w:numPr>
          <w:ilvl w:val="0"/>
          <w:numId w:val="1"/>
        </w:numPr>
        <w:spacing w:lineRule="auto" w:line="300" w:before="0" w:after="120"/>
        <w:rPr/>
      </w:pPr>
      <w:r>
        <w:rPr>
          <w:rFonts w:eastAsia="Arial" w:cs="Arial"/>
          <w:color w:val="333333"/>
          <w:sz w:val="22"/>
          <w:szCs w:val="22"/>
        </w:rPr>
        <w:t>Brand search volume lift correlated with story-driven campaign deployment</w:t>
      </w:r>
    </w:p>
    <w:p>
      <w:pPr>
        <w:pStyle w:val="ListParagraph"/>
        <w:numPr>
          <w:ilvl w:val="0"/>
          <w:numId w:val="1"/>
        </w:numPr>
        <w:spacing w:lineRule="auto" w:line="300" w:before="0" w:after="120"/>
        <w:rPr/>
      </w:pPr>
      <w:r>
        <w:rPr>
          <w:rFonts w:eastAsia="Arial" w:cs="Arial"/>
          <w:color w:val="333333"/>
          <w:sz w:val="22"/>
          <w:szCs w:val="22"/>
        </w:rPr>
        <w:t>Pipeline velocity: how story-exposed leads move through stages compared to non-exposed cohorts</w:t>
      </w:r>
    </w:p>
    <w:p>
      <w:pPr>
        <w:pStyle w:val="ListParagraph"/>
        <w:numPr>
          <w:ilvl w:val="0"/>
          <w:numId w:val="1"/>
        </w:numPr>
        <w:spacing w:lineRule="auto" w:line="300" w:before="0" w:after="120"/>
        <w:rPr/>
      </w:pPr>
      <w:r>
        <w:rPr>
          <w:rFonts w:eastAsia="Arial" w:cs="Arial"/>
          <w:color w:val="333333"/>
          <w:sz w:val="22"/>
          <w:szCs w:val="22"/>
        </w:rPr>
        <w:t>Trust signals: NPS, brand sentiment, qualitative feedback mapped to narrative touchpoints</w:t>
      </w:r>
    </w:p>
    <w:p>
      <w:pPr>
        <w:pStyle w:val="Normal"/>
        <w:rPr/>
      </w:pPr>
      <w:r>
        <w:rPr/>
      </w:r>
      <w:r>
        <w:br w:type="page"/>
      </w:r>
    </w:p>
    <w:p>
      <w:pPr>
        <w:pStyle w:val="Heading1"/>
        <w:pBdr>
          <w:bottom w:val="single" w:sz="4" w:space="8" w:color="2A9D8F"/>
        </w:pBdr>
        <w:spacing w:before="0" w:after="200"/>
        <w:rPr/>
      </w:pPr>
      <w:r>
        <w:rPr>
          <w:rFonts w:eastAsia="Arial" w:cs="Arial" w:ascii="Arial" w:hAnsi="Arial"/>
          <w:b/>
          <w:bCs/>
          <w:color w:val="1B2A4A"/>
          <w:sz w:val="36"/>
          <w:szCs w:val="36"/>
        </w:rPr>
        <w:t>4. Measurable Impact: Benchmarks and Evidence</w:t>
      </w:r>
    </w:p>
    <w:p>
      <w:pPr>
        <w:pStyle w:val="Normal"/>
        <w:spacing w:lineRule="auto" w:line="300" w:before="0" w:after="200"/>
        <w:jc w:val="start"/>
        <w:rPr/>
      </w:pPr>
      <w:r>
        <w:rPr>
          <w:rFonts w:eastAsia="Arial" w:cs="Arial"/>
          <w:b w:val="false"/>
          <w:bCs w:val="false"/>
          <w:i w:val="false"/>
          <w:iCs w:val="false"/>
          <w:color w:val="333333"/>
          <w:sz w:val="22"/>
          <w:szCs w:val="22"/>
        </w:rPr>
        <w:t>The skeptic’s question is fair: does this actually work at scale? The data says yes.</w:t>
      </w:r>
    </w:p>
    <w:p>
      <w:pPr>
        <w:pStyle w:val="Heading2"/>
        <w:spacing w:before="300" w:after="160"/>
        <w:rPr/>
      </w:pPr>
      <w:r>
        <w:rPr>
          <w:rFonts w:eastAsia="Arial" w:cs="Arial" w:ascii="Arial" w:hAnsi="Arial"/>
          <w:b/>
          <w:bCs/>
          <w:color w:val="2A9D8F"/>
          <w:sz w:val="28"/>
          <w:szCs w:val="28"/>
        </w:rPr>
        <w:t>Cross-Industry Benchmarks</w:t>
      </w:r>
    </w:p>
    <w:tbl>
      <w:tblPr>
        <w:tblW w:w="9360" w:type="dxa"/>
        <w:jc w:val="start"/>
        <w:tblInd w:w="0" w:type="dxa"/>
        <w:tblLayout w:type="fixed"/>
        <w:tblCellMar>
          <w:top w:w="80" w:type="dxa"/>
          <w:start w:w="120" w:type="dxa"/>
          <w:bottom w:w="80" w:type="dxa"/>
          <w:end w:w="120" w:type="dxa"/>
        </w:tblCellMar>
      </w:tblPr>
      <w:tblGrid>
        <w:gridCol w:w="3120"/>
        <w:gridCol w:w="3120"/>
        <w:gridCol w:w="3120"/>
      </w:tblGrid>
      <w:tr>
        <w:trPr/>
        <w:tc>
          <w:tcPr>
            <w:tcW w:w="3120" w:type="dxa"/>
            <w:tcBorders>
              <w:top w:val="single" w:sz="2" w:space="0" w:color="CCCCCC"/>
              <w:start w:val="single" w:sz="2" w:space="0" w:color="CCCCCC"/>
              <w:bottom w:val="single" w:sz="2" w:space="0" w:color="CCCCCC"/>
              <w:end w:val="single" w:sz="2" w:space="0" w:color="CCCCCC"/>
            </w:tcBorders>
            <w:shd w:fill="1B2A4A" w:val="clear"/>
          </w:tcPr>
          <w:p>
            <w:pPr>
              <w:pStyle w:val="Normal"/>
              <w:jc w:val="center"/>
              <w:rPr/>
            </w:pPr>
            <w:r>
              <w:rPr>
                <w:rFonts w:eastAsia="Arial" w:cs="Arial"/>
                <w:b/>
                <w:bCs/>
                <w:color w:val="FFFFFF"/>
                <w:sz w:val="22"/>
                <w:szCs w:val="22"/>
              </w:rPr>
              <w:t>Metric</w:t>
            </w:r>
          </w:p>
        </w:tc>
        <w:tc>
          <w:tcPr>
            <w:tcW w:w="3120" w:type="dxa"/>
            <w:tcBorders>
              <w:top w:val="single" w:sz="2" w:space="0" w:color="CCCCCC"/>
              <w:start w:val="single" w:sz="2" w:space="0" w:color="CCCCCC"/>
              <w:bottom w:val="single" w:sz="2" w:space="0" w:color="CCCCCC"/>
              <w:end w:val="single" w:sz="2" w:space="0" w:color="CCCCCC"/>
            </w:tcBorders>
            <w:shd w:fill="1B2A4A" w:val="clear"/>
          </w:tcPr>
          <w:p>
            <w:pPr>
              <w:pStyle w:val="Normal"/>
              <w:jc w:val="center"/>
              <w:rPr/>
            </w:pPr>
            <w:r>
              <w:rPr>
                <w:rFonts w:eastAsia="Arial" w:cs="Arial"/>
                <w:b/>
                <w:bCs/>
                <w:color w:val="FFFFFF"/>
                <w:sz w:val="22"/>
                <w:szCs w:val="22"/>
              </w:rPr>
              <w:t>Story-Led Brands</w:t>
            </w:r>
          </w:p>
        </w:tc>
        <w:tc>
          <w:tcPr>
            <w:tcW w:w="3120" w:type="dxa"/>
            <w:tcBorders>
              <w:top w:val="single" w:sz="2" w:space="0" w:color="CCCCCC"/>
              <w:start w:val="single" w:sz="2" w:space="0" w:color="CCCCCC"/>
              <w:bottom w:val="single" w:sz="2" w:space="0" w:color="CCCCCC"/>
              <w:end w:val="single" w:sz="2" w:space="0" w:color="CCCCCC"/>
            </w:tcBorders>
            <w:shd w:fill="1B2A4A" w:val="clear"/>
          </w:tcPr>
          <w:p>
            <w:pPr>
              <w:pStyle w:val="Normal"/>
              <w:jc w:val="center"/>
              <w:rPr/>
            </w:pPr>
            <w:r>
              <w:rPr>
                <w:rFonts w:eastAsia="Arial" w:cs="Arial"/>
                <w:b/>
                <w:bCs/>
                <w:color w:val="FFFFFF"/>
                <w:sz w:val="22"/>
                <w:szCs w:val="22"/>
              </w:rPr>
              <w:t>Control Group</w:t>
            </w:r>
          </w:p>
        </w:tc>
      </w:tr>
      <w:tr>
        <w:trPr/>
        <w:tc>
          <w:tcPr>
            <w:tcW w:w="3120" w:type="dxa"/>
            <w:tcBorders>
              <w:top w:val="single" w:sz="2" w:space="0" w:color="CCCCCC"/>
              <w:start w:val="single" w:sz="2" w:space="0" w:color="CCCCCC"/>
              <w:bottom w:val="single" w:sz="2" w:space="0" w:color="CCCCCC"/>
              <w:end w:val="single" w:sz="2" w:space="0" w:color="CCCCCC"/>
            </w:tcBorders>
            <w:shd w:fill="FFFFFF" w:val="clear"/>
          </w:tcPr>
          <w:p>
            <w:pPr>
              <w:pStyle w:val="Normal"/>
              <w:jc w:val="start"/>
              <w:rPr/>
            </w:pPr>
            <w:r>
              <w:rPr>
                <w:rFonts w:eastAsia="Arial" w:cs="Arial"/>
                <w:b w:val="false"/>
                <w:bCs w:val="false"/>
                <w:color w:val="333333"/>
                <w:sz w:val="22"/>
                <w:szCs w:val="22"/>
              </w:rPr>
              <w:t>Email Open Rate</w:t>
            </w:r>
          </w:p>
        </w:tc>
        <w:tc>
          <w:tcPr>
            <w:tcW w:w="3120" w:type="dxa"/>
            <w:tcBorders>
              <w:top w:val="single" w:sz="2" w:space="0" w:color="CCCCCC"/>
              <w:start w:val="single" w:sz="2" w:space="0" w:color="CCCCCC"/>
              <w:bottom w:val="single" w:sz="2" w:space="0" w:color="CCCCCC"/>
              <w:end w:val="single" w:sz="2" w:space="0" w:color="CCCCCC"/>
            </w:tcBorders>
            <w:shd w:fill="FFFFFF" w:val="clear"/>
          </w:tcPr>
          <w:p>
            <w:pPr>
              <w:pStyle w:val="Normal"/>
              <w:jc w:val="center"/>
              <w:rPr/>
            </w:pPr>
            <w:r>
              <w:rPr>
                <w:rFonts w:eastAsia="Arial" w:cs="Arial"/>
                <w:b/>
                <w:bCs/>
                <w:color w:val="2A9D8F"/>
                <w:sz w:val="22"/>
                <w:szCs w:val="22"/>
              </w:rPr>
              <w:t>34%</w:t>
            </w:r>
          </w:p>
        </w:tc>
        <w:tc>
          <w:tcPr>
            <w:tcW w:w="3120" w:type="dxa"/>
            <w:tcBorders>
              <w:top w:val="single" w:sz="2" w:space="0" w:color="CCCCCC"/>
              <w:start w:val="single" w:sz="2" w:space="0" w:color="CCCCCC"/>
              <w:bottom w:val="single" w:sz="2" w:space="0" w:color="CCCCCC"/>
              <w:end w:val="single" w:sz="2" w:space="0" w:color="CCCCCC"/>
            </w:tcBorders>
            <w:shd w:fill="FFFFFF" w:val="clear"/>
          </w:tcPr>
          <w:p>
            <w:pPr>
              <w:pStyle w:val="Normal"/>
              <w:jc w:val="center"/>
              <w:rPr/>
            </w:pPr>
            <w:r>
              <w:rPr>
                <w:rFonts w:eastAsia="Arial" w:cs="Arial"/>
                <w:b w:val="false"/>
                <w:bCs w:val="false"/>
                <w:color w:val="333333"/>
                <w:sz w:val="22"/>
                <w:szCs w:val="22"/>
              </w:rPr>
              <w:t>21%</w:t>
            </w:r>
          </w:p>
        </w:tc>
      </w:tr>
      <w:tr>
        <w:trPr/>
        <w:tc>
          <w:tcPr>
            <w:tcW w:w="3120" w:type="dxa"/>
            <w:tcBorders>
              <w:top w:val="single" w:sz="2" w:space="0" w:color="CCCCCC"/>
              <w:start w:val="single" w:sz="2" w:space="0" w:color="CCCCCC"/>
              <w:bottom w:val="single" w:sz="2" w:space="0" w:color="CCCCCC"/>
              <w:end w:val="single" w:sz="2" w:space="0" w:color="CCCCCC"/>
            </w:tcBorders>
            <w:shd w:fill="FFFFFF" w:val="clear"/>
          </w:tcPr>
          <w:p>
            <w:pPr>
              <w:pStyle w:val="Normal"/>
              <w:jc w:val="start"/>
              <w:rPr/>
            </w:pPr>
            <w:r>
              <w:rPr>
                <w:rFonts w:eastAsia="Arial" w:cs="Arial"/>
                <w:b w:val="false"/>
                <w:bCs w:val="false"/>
                <w:color w:val="333333"/>
                <w:sz w:val="22"/>
                <w:szCs w:val="22"/>
              </w:rPr>
              <w:t>Landing Page Conversion</w:t>
            </w:r>
          </w:p>
        </w:tc>
        <w:tc>
          <w:tcPr>
            <w:tcW w:w="3120" w:type="dxa"/>
            <w:tcBorders>
              <w:top w:val="single" w:sz="2" w:space="0" w:color="CCCCCC"/>
              <w:start w:val="single" w:sz="2" w:space="0" w:color="CCCCCC"/>
              <w:bottom w:val="single" w:sz="2" w:space="0" w:color="CCCCCC"/>
              <w:end w:val="single" w:sz="2" w:space="0" w:color="CCCCCC"/>
            </w:tcBorders>
            <w:shd w:fill="FFFFFF" w:val="clear"/>
          </w:tcPr>
          <w:p>
            <w:pPr>
              <w:pStyle w:val="Normal"/>
              <w:jc w:val="center"/>
              <w:rPr/>
            </w:pPr>
            <w:r>
              <w:rPr>
                <w:rFonts w:eastAsia="Arial" w:cs="Arial"/>
                <w:b/>
                <w:bCs/>
                <w:color w:val="2A9D8F"/>
                <w:sz w:val="22"/>
                <w:szCs w:val="22"/>
              </w:rPr>
              <w:t>14.2%</w:t>
            </w:r>
          </w:p>
        </w:tc>
        <w:tc>
          <w:tcPr>
            <w:tcW w:w="3120" w:type="dxa"/>
            <w:tcBorders>
              <w:top w:val="single" w:sz="2" w:space="0" w:color="CCCCCC"/>
              <w:start w:val="single" w:sz="2" w:space="0" w:color="CCCCCC"/>
              <w:bottom w:val="single" w:sz="2" w:space="0" w:color="CCCCCC"/>
              <w:end w:val="single" w:sz="2" w:space="0" w:color="CCCCCC"/>
            </w:tcBorders>
            <w:shd w:fill="FFFFFF" w:val="clear"/>
          </w:tcPr>
          <w:p>
            <w:pPr>
              <w:pStyle w:val="Normal"/>
              <w:jc w:val="center"/>
              <w:rPr/>
            </w:pPr>
            <w:r>
              <w:rPr>
                <w:rFonts w:eastAsia="Arial" w:cs="Arial"/>
                <w:b w:val="false"/>
                <w:bCs w:val="false"/>
                <w:color w:val="333333"/>
                <w:sz w:val="22"/>
                <w:szCs w:val="22"/>
              </w:rPr>
              <w:t>8.7%</w:t>
            </w:r>
          </w:p>
        </w:tc>
      </w:tr>
      <w:tr>
        <w:trPr/>
        <w:tc>
          <w:tcPr>
            <w:tcW w:w="3120" w:type="dxa"/>
            <w:tcBorders>
              <w:top w:val="single" w:sz="2" w:space="0" w:color="CCCCCC"/>
              <w:start w:val="single" w:sz="2" w:space="0" w:color="CCCCCC"/>
              <w:bottom w:val="single" w:sz="2" w:space="0" w:color="CCCCCC"/>
              <w:end w:val="single" w:sz="2" w:space="0" w:color="CCCCCC"/>
            </w:tcBorders>
            <w:shd w:fill="FFFFFF" w:val="clear"/>
          </w:tcPr>
          <w:p>
            <w:pPr>
              <w:pStyle w:val="Normal"/>
              <w:jc w:val="start"/>
              <w:rPr/>
            </w:pPr>
            <w:r>
              <w:rPr>
                <w:rFonts w:eastAsia="Arial" w:cs="Arial"/>
                <w:b w:val="false"/>
                <w:bCs w:val="false"/>
                <w:color w:val="333333"/>
                <w:sz w:val="22"/>
                <w:szCs w:val="22"/>
              </w:rPr>
              <w:t>Sales Cycle Length</w:t>
            </w:r>
          </w:p>
        </w:tc>
        <w:tc>
          <w:tcPr>
            <w:tcW w:w="3120" w:type="dxa"/>
            <w:tcBorders>
              <w:top w:val="single" w:sz="2" w:space="0" w:color="CCCCCC"/>
              <w:start w:val="single" w:sz="2" w:space="0" w:color="CCCCCC"/>
              <w:bottom w:val="single" w:sz="2" w:space="0" w:color="CCCCCC"/>
              <w:end w:val="single" w:sz="2" w:space="0" w:color="CCCCCC"/>
            </w:tcBorders>
            <w:shd w:fill="FFFFFF" w:val="clear"/>
          </w:tcPr>
          <w:p>
            <w:pPr>
              <w:pStyle w:val="Normal"/>
              <w:jc w:val="center"/>
              <w:rPr/>
            </w:pPr>
            <w:r>
              <w:rPr>
                <w:rFonts w:eastAsia="Arial" w:cs="Arial"/>
                <w:b/>
                <w:bCs/>
                <w:color w:val="2A9D8F"/>
                <w:sz w:val="22"/>
                <w:szCs w:val="22"/>
              </w:rPr>
              <w:t>28 days avg.</w:t>
            </w:r>
          </w:p>
        </w:tc>
        <w:tc>
          <w:tcPr>
            <w:tcW w:w="3120" w:type="dxa"/>
            <w:tcBorders>
              <w:top w:val="single" w:sz="2" w:space="0" w:color="CCCCCC"/>
              <w:start w:val="single" w:sz="2" w:space="0" w:color="CCCCCC"/>
              <w:bottom w:val="single" w:sz="2" w:space="0" w:color="CCCCCC"/>
              <w:end w:val="single" w:sz="2" w:space="0" w:color="CCCCCC"/>
            </w:tcBorders>
            <w:shd w:fill="FFFFFF" w:val="clear"/>
          </w:tcPr>
          <w:p>
            <w:pPr>
              <w:pStyle w:val="Normal"/>
              <w:jc w:val="center"/>
              <w:rPr/>
            </w:pPr>
            <w:r>
              <w:rPr>
                <w:rFonts w:eastAsia="Arial" w:cs="Arial"/>
                <w:b w:val="false"/>
                <w:bCs w:val="false"/>
                <w:color w:val="333333"/>
                <w:sz w:val="22"/>
                <w:szCs w:val="22"/>
              </w:rPr>
              <w:t>47 days avg.</w:t>
            </w:r>
          </w:p>
        </w:tc>
      </w:tr>
      <w:tr>
        <w:trPr/>
        <w:tc>
          <w:tcPr>
            <w:tcW w:w="3120" w:type="dxa"/>
            <w:tcBorders>
              <w:top w:val="single" w:sz="2" w:space="0" w:color="CCCCCC"/>
              <w:start w:val="single" w:sz="2" w:space="0" w:color="CCCCCC"/>
              <w:bottom w:val="single" w:sz="2" w:space="0" w:color="CCCCCC"/>
              <w:end w:val="single" w:sz="2" w:space="0" w:color="CCCCCC"/>
            </w:tcBorders>
            <w:shd w:fill="FFFFFF" w:val="clear"/>
          </w:tcPr>
          <w:p>
            <w:pPr>
              <w:pStyle w:val="Normal"/>
              <w:jc w:val="start"/>
              <w:rPr/>
            </w:pPr>
            <w:r>
              <w:rPr>
                <w:rFonts w:eastAsia="Arial" w:cs="Arial"/>
                <w:b w:val="false"/>
                <w:bCs w:val="false"/>
                <w:color w:val="333333"/>
                <w:sz w:val="22"/>
                <w:szCs w:val="22"/>
              </w:rPr>
              <w:t>Customer LTV (12-mo)</w:t>
            </w:r>
          </w:p>
        </w:tc>
        <w:tc>
          <w:tcPr>
            <w:tcW w:w="3120" w:type="dxa"/>
            <w:tcBorders>
              <w:top w:val="single" w:sz="2" w:space="0" w:color="CCCCCC"/>
              <w:start w:val="single" w:sz="2" w:space="0" w:color="CCCCCC"/>
              <w:bottom w:val="single" w:sz="2" w:space="0" w:color="CCCCCC"/>
              <w:end w:val="single" w:sz="2" w:space="0" w:color="CCCCCC"/>
            </w:tcBorders>
            <w:shd w:fill="FFFFFF" w:val="clear"/>
          </w:tcPr>
          <w:p>
            <w:pPr>
              <w:pStyle w:val="Normal"/>
              <w:jc w:val="center"/>
              <w:rPr/>
            </w:pPr>
            <w:r>
              <w:rPr>
                <w:rFonts w:eastAsia="Arial" w:cs="Arial"/>
                <w:b/>
                <w:bCs/>
                <w:color w:val="2A9D8F"/>
                <w:sz w:val="22"/>
                <w:szCs w:val="22"/>
              </w:rPr>
              <w:t>$8,400</w:t>
            </w:r>
          </w:p>
        </w:tc>
        <w:tc>
          <w:tcPr>
            <w:tcW w:w="3120" w:type="dxa"/>
            <w:tcBorders>
              <w:top w:val="single" w:sz="2" w:space="0" w:color="CCCCCC"/>
              <w:start w:val="single" w:sz="2" w:space="0" w:color="CCCCCC"/>
              <w:bottom w:val="single" w:sz="2" w:space="0" w:color="CCCCCC"/>
              <w:end w:val="single" w:sz="2" w:space="0" w:color="CCCCCC"/>
            </w:tcBorders>
            <w:shd w:fill="FFFFFF" w:val="clear"/>
          </w:tcPr>
          <w:p>
            <w:pPr>
              <w:pStyle w:val="Normal"/>
              <w:jc w:val="center"/>
              <w:rPr/>
            </w:pPr>
            <w:r>
              <w:rPr>
                <w:rFonts w:eastAsia="Arial" w:cs="Arial"/>
                <w:b w:val="false"/>
                <w:bCs w:val="false"/>
                <w:color w:val="333333"/>
                <w:sz w:val="22"/>
                <w:szCs w:val="22"/>
              </w:rPr>
              <w:t>$3,500</w:t>
            </w:r>
          </w:p>
        </w:tc>
      </w:tr>
      <w:tr>
        <w:trPr/>
        <w:tc>
          <w:tcPr>
            <w:tcW w:w="3120" w:type="dxa"/>
            <w:tcBorders>
              <w:top w:val="single" w:sz="2" w:space="0" w:color="CCCCCC"/>
              <w:start w:val="single" w:sz="2" w:space="0" w:color="CCCCCC"/>
              <w:bottom w:val="single" w:sz="2" w:space="0" w:color="CCCCCC"/>
              <w:end w:val="single" w:sz="2" w:space="0" w:color="CCCCCC"/>
            </w:tcBorders>
            <w:shd w:fill="FFFFFF" w:val="clear"/>
          </w:tcPr>
          <w:p>
            <w:pPr>
              <w:pStyle w:val="Normal"/>
              <w:jc w:val="start"/>
              <w:rPr/>
            </w:pPr>
            <w:r>
              <w:rPr>
                <w:rFonts w:eastAsia="Arial" w:cs="Arial"/>
                <w:b w:val="false"/>
                <w:bCs w:val="false"/>
                <w:color w:val="333333"/>
                <w:sz w:val="22"/>
                <w:szCs w:val="22"/>
              </w:rPr>
              <w:t>Referral Rate</w:t>
            </w:r>
          </w:p>
        </w:tc>
        <w:tc>
          <w:tcPr>
            <w:tcW w:w="3120" w:type="dxa"/>
            <w:tcBorders>
              <w:top w:val="single" w:sz="2" w:space="0" w:color="CCCCCC"/>
              <w:start w:val="single" w:sz="2" w:space="0" w:color="CCCCCC"/>
              <w:bottom w:val="single" w:sz="2" w:space="0" w:color="CCCCCC"/>
              <w:end w:val="single" w:sz="2" w:space="0" w:color="CCCCCC"/>
            </w:tcBorders>
            <w:shd w:fill="FFFFFF" w:val="clear"/>
          </w:tcPr>
          <w:p>
            <w:pPr>
              <w:pStyle w:val="Normal"/>
              <w:jc w:val="center"/>
              <w:rPr/>
            </w:pPr>
            <w:r>
              <w:rPr>
                <w:rFonts w:eastAsia="Arial" w:cs="Arial"/>
                <w:b/>
                <w:bCs/>
                <w:color w:val="2A9D8F"/>
                <w:sz w:val="22"/>
                <w:szCs w:val="22"/>
              </w:rPr>
              <w:t>31%</w:t>
            </w:r>
          </w:p>
        </w:tc>
        <w:tc>
          <w:tcPr>
            <w:tcW w:w="3120" w:type="dxa"/>
            <w:tcBorders>
              <w:top w:val="single" w:sz="2" w:space="0" w:color="CCCCCC"/>
              <w:start w:val="single" w:sz="2" w:space="0" w:color="CCCCCC"/>
              <w:bottom w:val="single" w:sz="2" w:space="0" w:color="CCCCCC"/>
              <w:end w:val="single" w:sz="2" w:space="0" w:color="CCCCCC"/>
            </w:tcBorders>
            <w:shd w:fill="FFFFFF" w:val="clear"/>
          </w:tcPr>
          <w:p>
            <w:pPr>
              <w:pStyle w:val="Normal"/>
              <w:jc w:val="center"/>
              <w:rPr/>
            </w:pPr>
            <w:r>
              <w:rPr>
                <w:rFonts w:eastAsia="Arial" w:cs="Arial"/>
                <w:b w:val="false"/>
                <w:bCs w:val="false"/>
                <w:color w:val="333333"/>
                <w:sz w:val="22"/>
                <w:szCs w:val="22"/>
              </w:rPr>
              <w:t>12%</w:t>
            </w:r>
          </w:p>
        </w:tc>
      </w:tr>
    </w:tbl>
    <w:p>
      <w:pPr>
        <w:pStyle w:val="Normal"/>
        <w:spacing w:before="0" w:after="100"/>
        <w:jc w:val="start"/>
        <w:rPr/>
      </w:pPr>
      <w:r>
        <w:rPr/>
      </w:r>
    </w:p>
    <w:p>
      <w:pPr>
        <w:pStyle w:val="Normal"/>
        <w:spacing w:before="0" w:after="300"/>
        <w:jc w:val="start"/>
        <w:rPr/>
      </w:pPr>
      <w:r>
        <w:rPr>
          <w:rFonts w:eastAsia="Arial" w:cs="Arial"/>
          <w:b w:val="false"/>
          <w:bCs w:val="false"/>
          <w:i/>
          <w:iCs/>
          <w:color w:val="666666"/>
          <w:sz w:val="18"/>
          <w:szCs w:val="18"/>
        </w:rPr>
        <w:t>Source: Aggregated data from North and Vine client engagements (2023–2026), supplemented by Demand Gen Report, Content Marketing Institute, and internal benchmarking studies.</w:t>
      </w:r>
    </w:p>
    <w:p>
      <w:pPr>
        <w:pStyle w:val="Heading2"/>
        <w:spacing w:before="300" w:after="160"/>
        <w:rPr/>
      </w:pPr>
      <w:r>
        <w:rPr>
          <w:rFonts w:eastAsia="Arial" w:cs="Arial" w:ascii="Arial" w:hAnsi="Arial"/>
          <w:b/>
          <w:bCs/>
          <w:color w:val="2A9D8F"/>
          <w:sz w:val="28"/>
          <w:szCs w:val="28"/>
        </w:rPr>
        <w:t>The Compounding Effect</w:t>
      </w:r>
    </w:p>
    <w:p>
      <w:pPr>
        <w:pStyle w:val="Normal"/>
        <w:spacing w:lineRule="auto" w:line="300" w:before="0" w:after="200"/>
        <w:jc w:val="start"/>
        <w:rPr/>
      </w:pPr>
      <w:r>
        <w:rPr>
          <w:rFonts w:eastAsia="Arial" w:cs="Arial"/>
          <w:b w:val="false"/>
          <w:bCs w:val="false"/>
          <w:i w:val="false"/>
          <w:iCs w:val="false"/>
          <w:color w:val="333333"/>
          <w:sz w:val="22"/>
          <w:szCs w:val="22"/>
        </w:rPr>
        <w:t>Perhaps the most compelling argument for story is what happens over time. Transactional campaigns have a linear relationship with spend: stop spending, stop converting. Story-driven brands build a narrative asset that compounds. Each piece of content reinforces the brand narrative, each customer story adds social proof, and each repetition of the core belief deepens market positioning.</w:t>
      </w:r>
    </w:p>
    <w:p>
      <w:pPr>
        <w:pStyle w:val="Normal"/>
        <w:spacing w:lineRule="auto" w:line="300" w:before="0" w:after="200"/>
        <w:jc w:val="start"/>
        <w:rPr/>
      </w:pPr>
      <w:r>
        <w:rPr>
          <w:rFonts w:eastAsia="Arial" w:cs="Arial"/>
          <w:b w:val="false"/>
          <w:bCs w:val="false"/>
          <w:i w:val="false"/>
          <w:iCs w:val="false"/>
          <w:color w:val="333333"/>
          <w:sz w:val="22"/>
          <w:szCs w:val="22"/>
        </w:rPr>
        <w:t>Our data shows that story-led brands reach a “narrative tipping point”—where inbound demand exceeds outbound effort—approximately 18 months faster than brands relying primarily on performance marketing.</w:t>
      </w:r>
    </w:p>
    <w:p>
      <w:pPr>
        <w:pStyle w:val="Normal"/>
        <w:rPr/>
      </w:pPr>
      <w:r>
        <w:rPr/>
      </w:r>
      <w:r>
        <w:br w:type="page"/>
      </w:r>
    </w:p>
    <w:p>
      <w:pPr>
        <w:pStyle w:val="Heading1"/>
        <w:pBdr>
          <w:bottom w:val="single" w:sz="4" w:space="8" w:color="2A9D8F"/>
        </w:pBdr>
        <w:spacing w:before="0" w:after="200"/>
        <w:rPr/>
      </w:pPr>
      <w:r>
        <w:rPr>
          <w:rFonts w:eastAsia="Arial" w:cs="Arial" w:ascii="Arial" w:hAnsi="Arial"/>
          <w:b/>
          <w:bCs/>
          <w:color w:val="1B2A4A"/>
          <w:sz w:val="36"/>
          <w:szCs w:val="36"/>
        </w:rPr>
        <w:t>5. Implementation Playbook</w:t>
      </w:r>
    </w:p>
    <w:p>
      <w:pPr>
        <w:pStyle w:val="Normal"/>
        <w:spacing w:lineRule="auto" w:line="300" w:before="0" w:after="200"/>
        <w:jc w:val="start"/>
        <w:rPr/>
      </w:pPr>
      <w:r>
        <w:rPr>
          <w:rFonts w:eastAsia="Arial" w:cs="Arial"/>
          <w:b w:val="false"/>
          <w:bCs w:val="false"/>
          <w:i w:val="false"/>
          <w:iCs w:val="false"/>
          <w:color w:val="333333"/>
          <w:sz w:val="22"/>
          <w:szCs w:val="22"/>
        </w:rPr>
        <w:t>Theory without execution is entertainment. Here is a 90-day playbook for integrating story into your conversion strategy.</w:t>
      </w:r>
    </w:p>
    <w:p>
      <w:pPr>
        <w:pStyle w:val="Heading2"/>
        <w:spacing w:before="300" w:after="160"/>
        <w:rPr/>
      </w:pPr>
      <w:r>
        <w:rPr>
          <w:rFonts w:eastAsia="Arial" w:cs="Arial" w:ascii="Arial" w:hAnsi="Arial"/>
          <w:b/>
          <w:bCs/>
          <w:color w:val="2A9D8F"/>
          <w:sz w:val="28"/>
          <w:szCs w:val="28"/>
        </w:rPr>
        <w:t>Days 1–30: Narrative Discovery</w:t>
      </w:r>
    </w:p>
    <w:p>
      <w:pPr>
        <w:pStyle w:val="ListParagraph"/>
        <w:numPr>
          <w:ilvl w:val="0"/>
          <w:numId w:val="1"/>
        </w:numPr>
        <w:spacing w:lineRule="auto" w:line="300" w:before="0" w:after="120"/>
        <w:rPr/>
      </w:pPr>
      <w:r>
        <w:rPr>
          <w:rFonts w:eastAsia="Arial" w:cs="Arial"/>
          <w:color w:val="333333"/>
          <w:sz w:val="22"/>
          <w:szCs w:val="22"/>
        </w:rPr>
        <w:t>Conduct stakeholder interviews to surface origin stories, founding beliefs, and cultural values</w:t>
      </w:r>
    </w:p>
    <w:p>
      <w:pPr>
        <w:pStyle w:val="ListParagraph"/>
        <w:numPr>
          <w:ilvl w:val="0"/>
          <w:numId w:val="1"/>
        </w:numPr>
        <w:spacing w:lineRule="auto" w:line="300" w:before="0" w:after="120"/>
        <w:rPr/>
      </w:pPr>
      <w:r>
        <w:rPr>
          <w:rFonts w:eastAsia="Arial" w:cs="Arial"/>
          <w:color w:val="333333"/>
          <w:sz w:val="22"/>
          <w:szCs w:val="22"/>
        </w:rPr>
        <w:t>Interview 8–12 best-fit customers using a narrative interview framework (not a standard testimonial script)</w:t>
      </w:r>
    </w:p>
    <w:p>
      <w:pPr>
        <w:pStyle w:val="ListParagraph"/>
        <w:numPr>
          <w:ilvl w:val="0"/>
          <w:numId w:val="1"/>
        </w:numPr>
        <w:spacing w:lineRule="auto" w:line="300" w:before="0" w:after="120"/>
        <w:rPr/>
      </w:pPr>
      <w:r>
        <w:rPr>
          <w:rFonts w:eastAsia="Arial" w:cs="Arial"/>
          <w:color w:val="333333"/>
          <w:sz w:val="22"/>
          <w:szCs w:val="22"/>
        </w:rPr>
        <w:t>Audit existing content for narrative elements—identify what’s story-rich and what’s purely transactional</w:t>
      </w:r>
    </w:p>
    <w:p>
      <w:pPr>
        <w:pStyle w:val="ListParagraph"/>
        <w:numPr>
          <w:ilvl w:val="0"/>
          <w:numId w:val="1"/>
        </w:numPr>
        <w:spacing w:lineRule="auto" w:line="300" w:before="0" w:after="120"/>
        <w:rPr/>
      </w:pPr>
      <w:r>
        <w:rPr>
          <w:rFonts w:eastAsia="Arial" w:cs="Arial"/>
          <w:color w:val="333333"/>
          <w:sz w:val="22"/>
          <w:szCs w:val="22"/>
        </w:rPr>
        <w:t>Synthesize findings into a Brand Narrative Brief: origin story, transformation arc, and belief statement</w:t>
      </w:r>
    </w:p>
    <w:p>
      <w:pPr>
        <w:pStyle w:val="Heading2"/>
        <w:spacing w:before="300" w:after="160"/>
        <w:rPr/>
      </w:pPr>
      <w:r>
        <w:rPr>
          <w:rFonts w:eastAsia="Arial" w:cs="Arial" w:ascii="Arial" w:hAnsi="Arial"/>
          <w:b/>
          <w:bCs/>
          <w:color w:val="2A9D8F"/>
          <w:sz w:val="28"/>
          <w:szCs w:val="28"/>
        </w:rPr>
        <w:t>Days 31–60: Content Transformation</w:t>
      </w:r>
    </w:p>
    <w:p>
      <w:pPr>
        <w:pStyle w:val="ListParagraph"/>
        <w:numPr>
          <w:ilvl w:val="0"/>
          <w:numId w:val="1"/>
        </w:numPr>
        <w:spacing w:lineRule="auto" w:line="300" w:before="0" w:after="120"/>
        <w:rPr/>
      </w:pPr>
      <w:r>
        <w:rPr>
          <w:rFonts w:eastAsia="Arial" w:cs="Arial"/>
          <w:color w:val="333333"/>
          <w:sz w:val="22"/>
          <w:szCs w:val="22"/>
        </w:rPr>
        <w:t>Rewrite the homepage around the Brand Narrative Brief—lead with belief, not features</w:t>
      </w:r>
    </w:p>
    <w:p>
      <w:pPr>
        <w:pStyle w:val="ListParagraph"/>
        <w:numPr>
          <w:ilvl w:val="0"/>
          <w:numId w:val="1"/>
        </w:numPr>
        <w:spacing w:lineRule="auto" w:line="300" w:before="0" w:after="120"/>
        <w:rPr/>
      </w:pPr>
      <w:r>
        <w:rPr>
          <w:rFonts w:eastAsia="Arial" w:cs="Arial"/>
          <w:color w:val="333333"/>
          <w:sz w:val="22"/>
          <w:szCs w:val="22"/>
        </w:rPr>
        <w:t>Rebuild the top three nurture email sequences to follow a narrative arc structure</w:t>
      </w:r>
    </w:p>
    <w:p>
      <w:pPr>
        <w:pStyle w:val="ListParagraph"/>
        <w:numPr>
          <w:ilvl w:val="0"/>
          <w:numId w:val="1"/>
        </w:numPr>
        <w:spacing w:lineRule="auto" w:line="300" w:before="0" w:after="120"/>
        <w:rPr/>
      </w:pPr>
      <w:r>
        <w:rPr>
          <w:rFonts w:eastAsia="Arial" w:cs="Arial"/>
          <w:color w:val="333333"/>
          <w:sz w:val="22"/>
          <w:szCs w:val="22"/>
        </w:rPr>
        <w:t>Create two long-form Customer Transformation Stories (1,500–2,000 words each) for mid-funnel deployment</w:t>
      </w:r>
    </w:p>
    <w:p>
      <w:pPr>
        <w:pStyle w:val="ListParagraph"/>
        <w:numPr>
          <w:ilvl w:val="0"/>
          <w:numId w:val="1"/>
        </w:numPr>
        <w:spacing w:lineRule="auto" w:line="300" w:before="0" w:after="120"/>
        <w:rPr/>
      </w:pPr>
      <w:r>
        <w:rPr>
          <w:rFonts w:eastAsia="Arial" w:cs="Arial"/>
          <w:color w:val="333333"/>
          <w:sz w:val="22"/>
          <w:szCs w:val="22"/>
        </w:rPr>
        <w:t>Develop a sales narrative deck that replaces the traditional product walkthrough</w:t>
      </w:r>
    </w:p>
    <w:p>
      <w:pPr>
        <w:pStyle w:val="Heading2"/>
        <w:spacing w:before="300" w:after="160"/>
        <w:rPr/>
      </w:pPr>
      <w:r>
        <w:rPr>
          <w:rFonts w:eastAsia="Arial" w:cs="Arial" w:ascii="Arial" w:hAnsi="Arial"/>
          <w:b/>
          <w:bCs/>
          <w:color w:val="2A9D8F"/>
          <w:sz w:val="28"/>
          <w:szCs w:val="28"/>
        </w:rPr>
        <w:t>Days 61–90: Measurement and Optimization</w:t>
      </w:r>
    </w:p>
    <w:p>
      <w:pPr>
        <w:pStyle w:val="ListParagraph"/>
        <w:numPr>
          <w:ilvl w:val="0"/>
          <w:numId w:val="1"/>
        </w:numPr>
        <w:spacing w:lineRule="auto" w:line="300" w:before="0" w:after="120"/>
        <w:rPr/>
      </w:pPr>
      <w:r>
        <w:rPr>
          <w:rFonts w:eastAsia="Arial" w:cs="Arial"/>
          <w:color w:val="333333"/>
          <w:sz w:val="22"/>
          <w:szCs w:val="22"/>
        </w:rPr>
        <w:t>Implement engagement depth tracking across all story-driven assets</w:t>
      </w:r>
    </w:p>
    <w:p>
      <w:pPr>
        <w:pStyle w:val="ListParagraph"/>
        <w:numPr>
          <w:ilvl w:val="0"/>
          <w:numId w:val="1"/>
        </w:numPr>
        <w:spacing w:lineRule="auto" w:line="300" w:before="0" w:after="120"/>
        <w:rPr/>
      </w:pPr>
      <w:r>
        <w:rPr>
          <w:rFonts w:eastAsia="Arial" w:cs="Arial"/>
          <w:color w:val="333333"/>
          <w:sz w:val="22"/>
          <w:szCs w:val="22"/>
        </w:rPr>
        <w:t>Establish A/B cohorts: story-exposed vs. control for pipeline velocity measurement</w:t>
      </w:r>
    </w:p>
    <w:p>
      <w:pPr>
        <w:pStyle w:val="ListParagraph"/>
        <w:numPr>
          <w:ilvl w:val="0"/>
          <w:numId w:val="1"/>
        </w:numPr>
        <w:spacing w:lineRule="auto" w:line="300" w:before="0" w:after="120"/>
        <w:rPr/>
      </w:pPr>
      <w:r>
        <w:rPr>
          <w:rFonts w:eastAsia="Arial" w:cs="Arial"/>
          <w:color w:val="333333"/>
          <w:sz w:val="22"/>
          <w:szCs w:val="22"/>
        </w:rPr>
        <w:t>Conduct a 30-day brand search volume analysis correlated with narrative content deployment dates</w:t>
      </w:r>
    </w:p>
    <w:p>
      <w:pPr>
        <w:pStyle w:val="ListParagraph"/>
        <w:numPr>
          <w:ilvl w:val="0"/>
          <w:numId w:val="1"/>
        </w:numPr>
        <w:spacing w:lineRule="auto" w:line="300" w:before="0" w:after="120"/>
        <w:rPr/>
      </w:pPr>
      <w:r>
        <w:rPr>
          <w:rFonts w:eastAsia="Arial" w:cs="Arial"/>
          <w:color w:val="333333"/>
          <w:sz w:val="22"/>
          <w:szCs w:val="22"/>
        </w:rPr>
        <w:t>Present initial ROI findings to leadership using the Narrative ROI Dashboard template</w:t>
      </w:r>
    </w:p>
    <w:tbl>
      <w:tblPr>
        <w:tblW w:w="9360" w:type="dxa"/>
        <w:jc w:val="start"/>
        <w:tblInd w:w="0" w:type="dxa"/>
        <w:tblLayout w:type="fixed"/>
        <w:tblCellMar>
          <w:top w:w="160" w:type="dxa"/>
          <w:start w:w="240" w:type="dxa"/>
          <w:bottom w:w="160" w:type="dxa"/>
          <w:end w:w="240" w:type="dxa"/>
        </w:tblCellMar>
      </w:tblPr>
      <w:tblGrid>
        <w:gridCol w:w="9360"/>
      </w:tblGrid>
      <w:tr>
        <w:trPr/>
        <w:tc>
          <w:tcPr>
            <w:tcW w:w="9360" w:type="dxa"/>
            <w:tcBorders>
              <w:start w:val="single" w:sz="12" w:space="0" w:color="2A9D8F"/>
            </w:tcBorders>
            <w:shd w:fill="F4F6F8" w:val="clear"/>
          </w:tcPr>
          <w:p>
            <w:pPr>
              <w:pStyle w:val="Normal"/>
              <w:spacing w:before="0" w:after="0"/>
              <w:rPr/>
            </w:pPr>
            <w:r>
              <w:rPr>
                <w:rFonts w:eastAsia="Arial" w:cs="Arial"/>
                <w:i/>
                <w:iCs/>
                <w:color w:val="1B2A4A"/>
                <w:sz w:val="21"/>
                <w:szCs w:val="21"/>
              </w:rPr>
              <w:t>Pro tip: Start with one high-traffic conversion path. Prove the model in a contained environment before expanding across the full customer journey.</w:t>
            </w:r>
          </w:p>
        </w:tc>
      </w:tr>
    </w:tbl>
    <w:p>
      <w:pPr>
        <w:pStyle w:val="Normal"/>
        <w:rPr/>
      </w:pPr>
      <w:r>
        <w:rPr/>
      </w:r>
      <w:r>
        <w:br w:type="page"/>
      </w:r>
    </w:p>
    <w:p>
      <w:pPr>
        <w:pStyle w:val="Heading1"/>
        <w:pBdr>
          <w:bottom w:val="single" w:sz="4" w:space="8" w:color="2A9D8F"/>
        </w:pBdr>
        <w:spacing w:before="0" w:after="200"/>
        <w:rPr/>
      </w:pPr>
      <w:r>
        <w:rPr>
          <w:rFonts w:eastAsia="Arial" w:cs="Arial" w:ascii="Arial" w:hAnsi="Arial"/>
          <w:b/>
          <w:bCs/>
          <w:color w:val="1B2A4A"/>
          <w:sz w:val="36"/>
          <w:szCs w:val="36"/>
        </w:rPr>
        <w:t>6. Common Objections (And How to Address Them)</w:t>
      </w:r>
    </w:p>
    <w:p>
      <w:pPr>
        <w:pStyle w:val="Normal"/>
        <w:spacing w:lineRule="auto" w:line="300" w:before="0" w:after="200"/>
        <w:jc w:val="start"/>
        <w:rPr/>
      </w:pPr>
      <w:r>
        <w:rPr>
          <w:rFonts w:eastAsia="Arial" w:cs="Arial"/>
          <w:b/>
          <w:bCs/>
          <w:i w:val="false"/>
          <w:iCs w:val="false"/>
          <w:color w:val="1B2A4A"/>
          <w:sz w:val="22"/>
          <w:szCs w:val="22"/>
        </w:rPr>
        <w:t>“</w:t>
      </w:r>
      <w:r>
        <w:rPr>
          <w:rFonts w:eastAsia="Arial" w:cs="Arial"/>
          <w:b/>
          <w:bCs/>
          <w:i w:val="false"/>
          <w:iCs w:val="false"/>
          <w:color w:val="1B2A4A"/>
          <w:sz w:val="22"/>
          <w:szCs w:val="22"/>
        </w:rPr>
        <w:t xml:space="preserve">Storytelling is too soft for our industry.” </w:t>
      </w:r>
      <w:r>
        <w:rPr>
          <w:rFonts w:eastAsia="Arial" w:cs="Arial"/>
          <w:b w:val="false"/>
          <w:bCs w:val="false"/>
          <w:i w:val="false"/>
          <w:iCs w:val="false"/>
          <w:color w:val="333333"/>
          <w:sz w:val="22"/>
          <w:szCs w:val="22"/>
        </w:rPr>
        <w:t>The data disagrees. B2B technology companies using narrative-driven content marketing report 45% higher engagement rates than those using purely technical content (Content Marketing Institute, 2025). Complexity actually increases the need for story—it gives buyers a framework for understanding technical differentiation.</w:t>
      </w:r>
    </w:p>
    <w:p>
      <w:pPr>
        <w:pStyle w:val="Normal"/>
        <w:spacing w:before="0" w:after="100"/>
        <w:jc w:val="start"/>
        <w:rPr/>
      </w:pPr>
      <w:r>
        <w:rPr/>
      </w:r>
    </w:p>
    <w:p>
      <w:pPr>
        <w:pStyle w:val="Normal"/>
        <w:spacing w:lineRule="auto" w:line="300" w:before="0" w:after="200"/>
        <w:jc w:val="start"/>
        <w:rPr/>
      </w:pPr>
      <w:r>
        <w:rPr>
          <w:rFonts w:eastAsia="Arial" w:cs="Arial"/>
          <w:b/>
          <w:bCs/>
          <w:i w:val="false"/>
          <w:iCs w:val="false"/>
          <w:color w:val="1B2A4A"/>
          <w:sz w:val="22"/>
          <w:szCs w:val="22"/>
        </w:rPr>
        <w:t>“</w:t>
      </w:r>
      <w:r>
        <w:rPr>
          <w:rFonts w:eastAsia="Arial" w:cs="Arial"/>
          <w:b/>
          <w:bCs/>
          <w:i w:val="false"/>
          <w:iCs w:val="false"/>
          <w:color w:val="1B2A4A"/>
          <w:sz w:val="22"/>
          <w:szCs w:val="22"/>
        </w:rPr>
        <w:t xml:space="preserve">We can’t measure story.” </w:t>
      </w:r>
      <w:r>
        <w:rPr>
          <w:rFonts w:eastAsia="Arial" w:cs="Arial"/>
          <w:b w:val="false"/>
          <w:bCs w:val="false"/>
          <w:i w:val="false"/>
          <w:iCs w:val="false"/>
          <w:color w:val="333333"/>
          <w:sz w:val="22"/>
          <w:szCs w:val="22"/>
        </w:rPr>
        <w:t>You can’t measure it with last-click attribution. You can measure it with the multi-signal approach outlined in Section 3. The brands getting this right are measuring engagement depth, pipeline velocity, and brand search lift—not just clicks.</w:t>
      </w:r>
    </w:p>
    <w:p>
      <w:pPr>
        <w:pStyle w:val="Normal"/>
        <w:spacing w:before="0" w:after="100"/>
        <w:jc w:val="start"/>
        <w:rPr/>
      </w:pPr>
      <w:r>
        <w:rPr/>
      </w:r>
    </w:p>
    <w:p>
      <w:pPr>
        <w:pStyle w:val="Normal"/>
        <w:spacing w:lineRule="auto" w:line="300" w:before="0" w:after="200"/>
        <w:jc w:val="start"/>
        <w:rPr/>
      </w:pPr>
      <w:r>
        <w:rPr>
          <w:rFonts w:eastAsia="Arial" w:cs="Arial"/>
          <w:b/>
          <w:bCs/>
          <w:i w:val="false"/>
          <w:iCs w:val="false"/>
          <w:color w:val="1B2A4A"/>
          <w:sz w:val="22"/>
          <w:szCs w:val="22"/>
        </w:rPr>
        <w:t>“</w:t>
      </w:r>
      <w:r>
        <w:rPr>
          <w:rFonts w:eastAsia="Arial" w:cs="Arial"/>
          <w:b/>
          <w:bCs/>
          <w:i w:val="false"/>
          <w:iCs w:val="false"/>
          <w:color w:val="1B2A4A"/>
          <w:sz w:val="22"/>
          <w:szCs w:val="22"/>
        </w:rPr>
        <w:t xml:space="preserve">Our sales team won’t adopt this.” </w:t>
      </w:r>
      <w:r>
        <w:rPr>
          <w:rFonts w:eastAsia="Arial" w:cs="Arial"/>
          <w:b w:val="false"/>
          <w:bCs w:val="false"/>
          <w:i w:val="false"/>
          <w:iCs w:val="false"/>
          <w:color w:val="333333"/>
          <w:sz w:val="22"/>
          <w:szCs w:val="22"/>
        </w:rPr>
        <w:t>Sales teams resist story when it’s positioned as a creative exercise. When it’s positioned as a competitive weapon that shortens deal cycles by 40%, adoption follows. Arm your sellers with narrative frameworks, not scripts.</w:t>
      </w:r>
    </w:p>
    <w:p>
      <w:pPr>
        <w:pStyle w:val="Normal"/>
        <w:spacing w:before="0" w:after="100"/>
        <w:jc w:val="start"/>
        <w:rPr/>
      </w:pPr>
      <w:r>
        <w:rPr/>
      </w:r>
    </w:p>
    <w:p>
      <w:pPr>
        <w:pStyle w:val="Normal"/>
        <w:spacing w:lineRule="auto" w:line="300" w:before="0" w:after="200"/>
        <w:jc w:val="start"/>
        <w:rPr/>
      </w:pPr>
      <w:r>
        <w:rPr>
          <w:rFonts w:eastAsia="Arial" w:cs="Arial"/>
          <w:b/>
          <w:bCs/>
          <w:i w:val="false"/>
          <w:iCs w:val="false"/>
          <w:color w:val="1B2A4A"/>
          <w:sz w:val="22"/>
          <w:szCs w:val="22"/>
        </w:rPr>
        <w:t>“</w:t>
      </w:r>
      <w:r>
        <w:rPr>
          <w:rFonts w:eastAsia="Arial" w:cs="Arial"/>
          <w:b/>
          <w:bCs/>
          <w:i w:val="false"/>
          <w:iCs w:val="false"/>
          <w:color w:val="1B2A4A"/>
          <w:sz w:val="22"/>
          <w:szCs w:val="22"/>
        </w:rPr>
        <w:t xml:space="preserve">We don’t have interesting stories.” </w:t>
      </w:r>
      <w:r>
        <w:rPr>
          <w:rFonts w:eastAsia="Arial" w:cs="Arial"/>
          <w:b w:val="false"/>
          <w:bCs w:val="false"/>
          <w:i w:val="false"/>
          <w:iCs w:val="false"/>
          <w:color w:val="333333"/>
          <w:sz w:val="22"/>
          <w:szCs w:val="22"/>
        </w:rPr>
        <w:t>Every company has stories. They are hiding in customer support tickets, in the reason the founder quit their job, in the email a customer sent saying your product changed their business. The issue is never a lack of stories—it’s a lack of systems for capturing and deploying them.</w:t>
      </w:r>
    </w:p>
    <w:p>
      <w:pPr>
        <w:pStyle w:val="Normal"/>
        <w:rPr/>
      </w:pPr>
      <w:r>
        <w:rPr/>
      </w:r>
      <w:r>
        <w:br w:type="page"/>
      </w:r>
    </w:p>
    <w:p>
      <w:pPr>
        <w:pStyle w:val="Heading1"/>
        <w:pBdr>
          <w:bottom w:val="single" w:sz="4" w:space="8" w:color="2A9D8F"/>
        </w:pBdr>
        <w:spacing w:before="0" w:after="200"/>
        <w:rPr/>
      </w:pPr>
      <w:r>
        <w:rPr>
          <w:rFonts w:eastAsia="Arial" w:cs="Arial" w:ascii="Arial" w:hAnsi="Arial"/>
          <w:b/>
          <w:bCs/>
          <w:color w:val="1B2A4A"/>
          <w:sz w:val="36"/>
          <w:szCs w:val="36"/>
        </w:rPr>
        <w:t>7. Conclusion: Story Is Strategy</w:t>
      </w:r>
    </w:p>
    <w:p>
      <w:pPr>
        <w:pStyle w:val="Normal"/>
        <w:spacing w:lineRule="auto" w:line="300" w:before="0" w:after="200"/>
        <w:jc w:val="start"/>
        <w:rPr/>
      </w:pPr>
      <w:r>
        <w:rPr>
          <w:rFonts w:eastAsia="Arial" w:cs="Arial"/>
          <w:b w:val="false"/>
          <w:bCs w:val="false"/>
          <w:i w:val="false"/>
          <w:iCs w:val="false"/>
          <w:color w:val="333333"/>
          <w:sz w:val="22"/>
          <w:szCs w:val="22"/>
        </w:rPr>
        <w:t>The gap between brands that grow and brands that stall is not a technology gap, a budget gap, or even a talent gap. It is a trust gap. And trust is built through story.</w:t>
      </w:r>
    </w:p>
    <w:p>
      <w:pPr>
        <w:pStyle w:val="Normal"/>
        <w:spacing w:lineRule="auto" w:line="300" w:before="0" w:after="200"/>
        <w:jc w:val="start"/>
        <w:rPr/>
      </w:pPr>
      <w:r>
        <w:rPr>
          <w:rFonts w:eastAsia="Arial" w:cs="Arial"/>
          <w:b w:val="false"/>
          <w:bCs w:val="false"/>
          <w:i w:val="false"/>
          <w:iCs w:val="false"/>
          <w:color w:val="333333"/>
          <w:sz w:val="22"/>
          <w:szCs w:val="22"/>
        </w:rPr>
        <w:t>The most effective marketing organizations of the next decade will not be the ones with the largest ad budgets or the most sophisticated attribution models. They will be the ones that understand a fundamental truth: people do not buy products. They buy into narratives. They choose brands that reflect their values, that articulate their aspirations, and that tell the story they want to be part of.</w:t>
      </w:r>
    </w:p>
    <w:p>
      <w:pPr>
        <w:pStyle w:val="Normal"/>
        <w:spacing w:lineRule="auto" w:line="300" w:before="0" w:after="200"/>
        <w:jc w:val="start"/>
        <w:rPr/>
      </w:pPr>
      <w:r>
        <w:rPr>
          <w:rFonts w:eastAsia="Arial" w:cs="Arial"/>
          <w:b w:val="false"/>
          <w:bCs w:val="false"/>
          <w:i w:val="false"/>
          <w:iCs w:val="false"/>
          <w:color w:val="333333"/>
          <w:sz w:val="22"/>
          <w:szCs w:val="22"/>
        </w:rPr>
        <w:t>Storytelling is not a tactic you layer on top of your existing strategy. It is the strategy. And as the data in this paper demonstrates, it is a strategy that delivers measurable, compounding returns.</w:t>
      </w:r>
    </w:p>
    <w:tbl>
      <w:tblPr>
        <w:tblW w:w="9360" w:type="dxa"/>
        <w:jc w:val="start"/>
        <w:tblInd w:w="0" w:type="dxa"/>
        <w:tblLayout w:type="fixed"/>
        <w:tblCellMar>
          <w:top w:w="160" w:type="dxa"/>
          <w:start w:w="240" w:type="dxa"/>
          <w:bottom w:w="160" w:type="dxa"/>
          <w:end w:w="240" w:type="dxa"/>
        </w:tblCellMar>
      </w:tblPr>
      <w:tblGrid>
        <w:gridCol w:w="9360"/>
      </w:tblGrid>
      <w:tr>
        <w:trPr/>
        <w:tc>
          <w:tcPr>
            <w:tcW w:w="9360" w:type="dxa"/>
            <w:tcBorders>
              <w:start w:val="single" w:sz="12" w:space="0" w:color="2A9D8F"/>
            </w:tcBorders>
            <w:shd w:fill="F4F6F8" w:val="clear"/>
          </w:tcPr>
          <w:p>
            <w:pPr>
              <w:pStyle w:val="Normal"/>
              <w:spacing w:before="0" w:after="0"/>
              <w:rPr/>
            </w:pPr>
            <w:r>
              <w:rPr>
                <w:rFonts w:eastAsia="Arial" w:cs="Arial"/>
                <w:i/>
                <w:iCs/>
                <w:color w:val="1B2A4A"/>
                <w:sz w:val="21"/>
                <w:szCs w:val="21"/>
              </w:rPr>
              <w:t>The question is not whether story works. The question is whether you can afford to keep marketing without one.</w:t>
            </w:r>
          </w:p>
        </w:tc>
      </w:tr>
    </w:tbl>
    <w:p>
      <w:pPr>
        <w:pStyle w:val="Normal"/>
        <w:spacing w:before="0" w:after="300"/>
        <w:jc w:val="start"/>
        <w:rPr/>
      </w:pPr>
      <w:r>
        <w:rPr/>
      </w:r>
    </w:p>
    <w:p>
      <w:pPr>
        <w:pStyle w:val="Normal"/>
        <w:pBdr>
          <w:bottom w:val="single" w:sz="4" w:space="8" w:color="2A9D8F"/>
        </w:pBdr>
        <w:spacing w:before="200" w:after="200"/>
        <w:rPr/>
      </w:pPr>
      <w:r>
        <w:rPr>
          <w:rFonts w:eastAsia="Arial" w:cs="Arial"/>
          <w:b/>
          <w:bCs/>
          <w:color w:val="1B2A4A"/>
          <w:sz w:val="28"/>
          <w:szCs w:val="28"/>
        </w:rPr>
        <w:t>About North and Vine</w:t>
      </w:r>
    </w:p>
    <w:p>
      <w:pPr>
        <w:pStyle w:val="Normal"/>
        <w:spacing w:lineRule="auto" w:line="300" w:before="0" w:after="200"/>
        <w:jc w:val="start"/>
        <w:rPr/>
      </w:pPr>
      <w:r>
        <w:rPr>
          <w:rFonts w:eastAsia="Arial" w:cs="Arial"/>
          <w:b w:val="false"/>
          <w:bCs w:val="false"/>
          <w:i w:val="false"/>
          <w:iCs w:val="false"/>
          <w:color w:val="333333"/>
          <w:sz w:val="22"/>
          <w:szCs w:val="22"/>
        </w:rPr>
        <w:t>North and Vine helps growth-stage and enterprise brands build narrative-driven marketing systems that convert. Our approach combines brand strategy, content architecture, and performance measurement to turn story into your most productive revenue channel.</w:t>
      </w:r>
    </w:p>
    <w:p>
      <w:pPr>
        <w:pStyle w:val="Normal"/>
        <w:spacing w:lineRule="auto" w:line="300" w:before="0" w:after="200"/>
        <w:jc w:val="start"/>
        <w:rPr/>
      </w:pPr>
      <w:r>
        <w:rPr>
          <w:rFonts w:eastAsia="Arial" w:cs="Arial"/>
          <w:b w:val="false"/>
          <w:bCs w:val="false"/>
          <w:i w:val="false"/>
          <w:iCs w:val="false"/>
          <w:color w:val="333333"/>
          <w:sz w:val="22"/>
          <w:szCs w:val="22"/>
        </w:rPr>
        <w:t xml:space="preserve">Ready to explore what story can do for your pipeline? </w:t>
      </w:r>
      <w:r>
        <w:rPr>
          <w:rFonts w:eastAsia="Arial" w:cs="Arial"/>
          <w:b/>
          <w:bCs/>
          <w:i w:val="false"/>
          <w:iCs w:val="false"/>
          <w:color w:val="2A9D8F"/>
          <w:sz w:val="22"/>
          <w:szCs w:val="22"/>
        </w:rPr>
        <w:t>Let’s talk.</w:t>
      </w:r>
    </w:p>
    <w:p>
      <w:pPr>
        <w:pStyle w:val="Normal"/>
        <w:spacing w:before="0" w:after="80"/>
        <w:jc w:val="start"/>
        <w:rPr/>
      </w:pPr>
      <w:r>
        <w:rPr>
          <w:rFonts w:eastAsia="Arial" w:cs="Arial"/>
          <w:b/>
          <w:bCs/>
          <w:i w:val="false"/>
          <w:iCs w:val="false"/>
          <w:color w:val="2A9D8F"/>
          <w:sz w:val="22"/>
          <w:szCs w:val="22"/>
        </w:rPr>
        <w:t>northandvine.com</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08"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2" w:space="4" w:color="2A9D8F"/>
      </w:pBdr>
      <w:tabs>
        <w:tab w:val="clear" w:pos="720"/>
        <w:tab w:val="right" w:pos="9026" w:leader="none"/>
      </w:tabs>
      <w:rPr/>
    </w:pPr>
    <w:r>
      <w:rPr>
        <w:rFonts w:eastAsia="Arial" w:cs="Arial"/>
        <w:color w:val="666666"/>
        <w:sz w:val="16"/>
        <w:szCs w:val="16"/>
      </w:rPr>
      <w:t>© 2026 North and Vine. All rights reserved.</w:t>
    </w:r>
    <w:r>
      <w:rPr>
        <w:rFonts w:eastAsia="Arial" w:cs="Arial"/>
        <w:sz w:val="16"/>
        <w:szCs w:val="16"/>
      </w:rPr>
      <w:tab/>
    </w:r>
    <w:r>
      <w:rPr>
        <w:rFonts w:eastAsia="Arial" w:cs="Arial"/>
        <w:color w:val="666666"/>
        <w:sz w:val="16"/>
        <w:szCs w:val="16"/>
      </w:rPr>
      <w:t xml:space="preserve">Page </w:t>
    </w:r>
    <w:r>
      <w:rPr>
        <w:rFonts w:eastAsia="Arial" w:cs="Arial"/>
        <w:b/>
        <w:bCs/>
        <w:i w:val="false"/>
        <w:iCs w:val="false"/>
        <w:color w:val="2A9D8F"/>
        <w:sz w:val="22"/>
        <w:szCs w:val="22"/>
      </w:rPr>
      <w:fldChar w:fldCharType="begin"/>
    </w:r>
    <w:r>
      <w:rPr>
        <w:rFonts w:eastAsia="Arial" w:cs="Arial"/>
        <w:b/>
        <w:bCs/>
        <w:i w:val="false"/>
        <w:iCs w:val="false"/>
        <w:color w:val="2A9D8F"/>
        <w:sz w:val="22"/>
        <w:szCs w:val="22"/>
      </w:rPr>
      <w:instrText xml:space="preserve"> PAGE </w:instrText>
    </w:r>
    <w:r>
      <w:rPr>
        <w:rFonts w:eastAsia="Arial" w:cs="Arial"/>
        <w:b/>
        <w:bCs/>
        <w:i w:val="false"/>
        <w:iCs w:val="false"/>
        <w:color w:val="2A9D8F"/>
        <w:sz w:val="22"/>
        <w:szCs w:val="22"/>
      </w:rPr>
      <w:fldChar w:fldCharType="separate"/>
    </w:r>
    <w:r>
      <w:rPr>
        <w:rFonts w:eastAsia="Arial" w:cs="Arial"/>
        <w:b/>
        <w:bCs/>
        <w:i w:val="false"/>
        <w:iCs w:val="false"/>
        <w:color w:val="2A9D8F"/>
        <w:sz w:val="22"/>
        <w:szCs w:val="22"/>
      </w:rPr>
      <w:t>10</w:t>
    </w:r>
    <w:r>
      <w:rPr>
        <w:rFonts w:eastAsia="Arial" w:cs="Arial"/>
        <w:b/>
        <w:bCs/>
        <w:i w:val="false"/>
        <w:iCs w:val="false"/>
        <w:color w:val="2A9D8F"/>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2" w:space="4" w:color="2A9D8F"/>
      </w:pBdr>
      <w:tabs>
        <w:tab w:val="clear" w:pos="720"/>
        <w:tab w:val="right" w:pos="9026" w:leader="none"/>
      </w:tabs>
      <w:rPr/>
    </w:pPr>
    <w:r>
      <w:rPr>
        <w:rFonts w:eastAsia="Arial" w:cs="Arial"/>
        <w:color w:val="666666"/>
        <w:sz w:val="16"/>
        <w:szCs w:val="16"/>
      </w:rPr>
      <w:t>© 2026 North and Vine. All rights reserved.</w:t>
    </w:r>
    <w:r>
      <w:rPr>
        <w:rFonts w:eastAsia="Arial" w:cs="Arial"/>
        <w:sz w:val="16"/>
        <w:szCs w:val="16"/>
      </w:rPr>
      <w:tab/>
    </w:r>
    <w:r>
      <w:rPr>
        <w:rFonts w:eastAsia="Arial" w:cs="Arial"/>
        <w:color w:val="666666"/>
        <w:sz w:val="16"/>
        <w:szCs w:val="16"/>
      </w:rPr>
      <w:t xml:space="preserve">Page </w:t>
    </w:r>
    <w:r>
      <w:rPr>
        <w:rFonts w:eastAsia="Arial" w:cs="Arial"/>
        <w:b/>
        <w:bCs/>
        <w:i w:val="false"/>
        <w:iCs w:val="false"/>
        <w:color w:val="2A9D8F"/>
        <w:sz w:val="22"/>
        <w:szCs w:val="22"/>
      </w:rPr>
      <w:fldChar w:fldCharType="begin"/>
    </w:r>
    <w:r>
      <w:rPr>
        <w:rFonts w:eastAsia="Arial" w:cs="Arial"/>
        <w:b/>
        <w:bCs/>
        <w:i w:val="false"/>
        <w:iCs w:val="false"/>
        <w:color w:val="2A9D8F"/>
        <w:sz w:val="22"/>
        <w:szCs w:val="22"/>
      </w:rPr>
      <w:instrText xml:space="preserve"> PAGE </w:instrText>
    </w:r>
    <w:r>
      <w:rPr>
        <w:rFonts w:eastAsia="Arial" w:cs="Arial"/>
        <w:b/>
        <w:bCs/>
        <w:i w:val="false"/>
        <w:iCs w:val="false"/>
        <w:color w:val="2A9D8F"/>
        <w:sz w:val="22"/>
        <w:szCs w:val="22"/>
      </w:rPr>
      <w:fldChar w:fldCharType="separate"/>
    </w:r>
    <w:r>
      <w:rPr>
        <w:rFonts w:eastAsia="Arial" w:cs="Arial"/>
        <w:b/>
        <w:bCs/>
        <w:i w:val="false"/>
        <w:iCs w:val="false"/>
        <w:color w:val="2A9D8F"/>
        <w:sz w:val="22"/>
        <w:szCs w:val="22"/>
      </w:rPr>
      <w:t>10</w:t>
    </w:r>
    <w:r>
      <w:rPr>
        <w:rFonts w:eastAsia="Arial" w:cs="Arial"/>
        <w:b/>
        <w:bCs/>
        <w:i w:val="false"/>
        <w:iCs w:val="false"/>
        <w:color w:val="2A9D8F"/>
        <w:sz w:val="22"/>
        <w:szCs w:val="2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2" w:space="4" w:color="2A9D8F"/>
      </w:pBdr>
      <w:rPr/>
    </w:pPr>
    <w:r>
      <w:rPr>
        <w:rFonts w:eastAsia="Arial" w:cs="Arial"/>
        <w:b/>
        <w:bCs/>
        <w:color w:val="2A9D8F"/>
        <w:sz w:val="16"/>
        <w:szCs w:val="16"/>
      </w:rPr>
      <w:t>NORTH AND VINE</w:t>
    </w:r>
    <w:r>
      <w:rPr>
        <w:rFonts w:eastAsia="Arial" w:cs="Arial"/>
        <w:color w:val="666666"/>
        <w:sz w:val="16"/>
        <w:szCs w:val="16"/>
      </w:rPr>
      <w:t xml:space="preserve">  |  Using Storytelling to Build Trust and Drive Measurable Conversions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2" w:space="4" w:color="2A9D8F"/>
      </w:pBdr>
      <w:rPr/>
    </w:pPr>
    <w:r>
      <w:rPr>
        <w:rFonts w:eastAsia="Arial" w:cs="Arial"/>
        <w:b/>
        <w:bCs/>
        <w:color w:val="2A9D8F"/>
        <w:sz w:val="16"/>
        <w:szCs w:val="16"/>
      </w:rPr>
      <w:t>NORTH AND VINE</w:t>
    </w:r>
    <w:r>
      <w:rPr>
        <w:rFonts w:eastAsia="Arial" w:cs="Arial"/>
        <w:color w:val="666666"/>
        <w:sz w:val="16"/>
        <w:szCs w:val="16"/>
      </w:rPr>
      <w:t xml:space="preserve">  |  Using Storytelling to Build Trust and Drive Measurable Conversions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before="0" w:after="0"/>
      <w:jc w:val="start"/>
    </w:pPr>
    <w:rPr>
      <w:rFonts w:ascii="Arial" w:hAnsi="Arial" w:eastAsia="Arial" w:cs="Arial"/>
      <w:color w:val="auto"/>
      <w:kern w:val="0"/>
      <w:sz w:val="22"/>
      <w:szCs w:val="22"/>
      <w:lang w:val="en-US" w:eastAsia="zh-CN" w:bidi="hi-IN"/>
    </w:rPr>
  </w:style>
  <w:style w:type="paragraph" w:styleId="Heading1">
    <w:name w:val="heading 1"/>
    <w:basedOn w:val="Heading"/>
    <w:qFormat/>
    <w:pPr>
      <w:spacing w:before="400" w:after="200"/>
      <w:outlineLvl w:val="0"/>
    </w:pPr>
    <w:rPr>
      <w:rFonts w:ascii="Arial" w:hAnsi="Arial" w:eastAsia="Arial" w:cs="Arial"/>
      <w:b/>
      <w:bCs/>
      <w:color w:val="1B2A4A"/>
      <w:sz w:val="36"/>
      <w:szCs w:val="36"/>
    </w:rPr>
  </w:style>
  <w:style w:type="paragraph" w:styleId="Heading2">
    <w:name w:val="heading 2"/>
    <w:basedOn w:val="Heading"/>
    <w:qFormat/>
    <w:pPr>
      <w:spacing w:before="300" w:after="160"/>
      <w:outlineLvl w:val="1"/>
    </w:pPr>
    <w:rPr>
      <w:rFonts w:ascii="Arial" w:hAnsi="Arial" w:eastAsia="Arial" w:cs="Arial"/>
      <w:b/>
      <w:bCs/>
      <w:color w:val="2A9D8F"/>
      <w:sz w:val="28"/>
      <w:szCs w:val="28"/>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styleId="EndnoteTextChar">
    <w:name w:val="Endnote Text Char"/>
    <w:link w:val="End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start"/>
    </w:pPr>
    <w:rPr>
      <w:rFonts w:ascii="Arial" w:hAnsi="Arial" w:eastAsia="Arial" w:cs="Arial"/>
      <w:b/>
      <w:bCs/>
      <w:color w:val="auto"/>
      <w:kern w:val="0"/>
      <w:sz w:val="22"/>
      <w:szCs w:val="22"/>
      <w:lang w:val="en-US" w:eastAsia="zh-CN" w:bidi="hi-IN"/>
    </w:rPr>
  </w:style>
  <w:style w:type="paragraph" w:styleId="ListParagraph">
    <w:name w:val="List Paragraph"/>
    <w:qFormat/>
    <w:pPr>
      <w:widowControl/>
      <w:bidi w:val="0"/>
      <w:spacing w:before="0" w:after="0"/>
      <w:jc w:val="start"/>
    </w:pPr>
    <w:rPr>
      <w:rFonts w:ascii="Arial" w:hAnsi="Arial" w:eastAsia="Arial" w:cs="Arial"/>
      <w:color w:val="auto"/>
      <w:kern w:val="0"/>
      <w:sz w:val="22"/>
      <w:szCs w:val="22"/>
      <w:lang w:val="en-U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LibreOffice/26.2.2.2$MacOSX_AARCH64 LibreOffice_project/1f77d10d6938fd34972958f64b2bcfa54f8b1ba5</Application>
  <AppVersion>15.0000</AppVersion>
  <Pages>10</Pages>
  <Words>1840</Words>
  <Characters>10631</Characters>
  <CharactersWithSpaces>12322</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2026-04-17T18:13:44Z</dcterms:created>
  <dc:creator>Un-named</dc:creator>
  <dc:description/>
  <dc:language>en-US</dc:language>
  <cp:lastModifiedBy/>
  <dcterms:modified xsi:type="dcterms:W3CDTF">2026-04-17T11:21:04Z</dcterms:modified>
  <cp:revision>2</cp:revision>
  <dc:subject/>
  <dc:title/>
</cp:coreProperties>
</file>